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المازني الصحابي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المازني الصحابي
</w:t>
      </w:r>
    </w:p>
    <w:p>
      <w:pPr/>
      <w:r>
        <w:rPr/>
        <w:t xml:space="preserve">المازني الصحابي قيس بن أبي صعصعة عمرو بن زيد بن عوف بن مبذول بن عمرو بن غنم بن مازن بن النجار الأنصاري: شهد العقبة وبدرا، وكان رسول الله صلى الله عليه وسلم قد جعله على الساقة يوم أحد.</w:t>
      </w:r>
    </w:p>
    <w:p/>
    <w:p>
      <w:pPr/>
      <w:r>
        <w:rPr/>
        <w:t xml:space="preserve">قال ابن عبد البر: لا يوقف له على وقت وفاة. وقال الشيخ شمس الدين: توفي سنة خمس عشرة للهجرة.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2026-07-27T14:14:53+03:00</dcterms:created>
  <dcterms:modified xsi:type="dcterms:W3CDTF">2026-07-27T14:14:53+03:00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