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القصار
</w:t>
      </w:r>
    </w:p>
    <w:p>
      <w:pPr>
        <w:jc w:val="start"/>
        <w:bidi/>
      </w:pPr>
      <w:r>
        <w:rPr>
          <w:rFonts w:ascii="arial" w:hAnsi="arial" w:eastAsia="arial" w:cs="arial"/>
          <w:sz w:val="28"/>
          <w:szCs w:val="28"/>
          <w:b w:val="1"/>
          <w:bCs w:val="1"/>
          <w:rtl/>
        </w:rPr>
        <w:t xml:space="preserve">القصار
</w:t>
      </w:r>
    </w:p>
    <w:p>
      <w:pPr/>
      <w:r>
        <w:rPr/>
        <w:t xml:space="preserve">القصار يونس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يحيى
</w:t>
      </w:r>
    </w:p>
    <w:p>
      <w:pPr/>
      <w:r>
        <w:rPr/>
        <w:t xml:space="preserve">يونس بن يحيى الهاشمي الأزجي القصار المجاور.</w:t>
      </w:r>
    </w:p>
    <w:p/>
    <w:p>
      <w:pPr/>
      <w:r>
        <w:rPr/>
        <w:t xml:space="preserve">سمع الأرموي، وابن الطلاية، وابن ناصر، وعدة. وروى بأماكن.</w:t>
      </w:r>
    </w:p>
    <w:p/>
    <w:p>
      <w:pPr/>
      <w:r>
        <w:rPr/>
        <w:t xml:space="preserve">حدث عنه: البرزالي، وابن خليل، والضياء محمد، والتاج ابن القسطلاني، ويعقوب بن أبي بكر الطبري.</w:t>
      </w:r>
    </w:p>
    <w:p/>
    <w:p>
      <w:pPr/>
      <w:r>
        <w:rPr/>
        <w:t xml:space="preserve">توفي بمكة، سنة ثمان وست مائة.</w:t>
      </w:r>
    </w:p>
    <w:p/>
    <w:p>
      <w:pPr/>
      <w:r>
        <w:rPr/>
        <w:t xml:space="preserve">ابن عات، ربيعة بن الحسن: </w:t>
      </w:r>
    </w:p>
    <w:p>
      <w:pPr>
        <w:jc w:val="start"/>
        <w:bidi/>
      </w:pPr>
      <w:r>
        <w:rPr>
          <w:sz w:val="24"/>
          <w:szCs w:val="24"/>
          <w:b w:val="1"/>
          <w:bCs w:val="1"/>
          <w:rtl/>
        </w:rPr>
        <w:t xml:space="preserve">
سير أعلام النبلاء،(دار الحديث- القاهرة،2006،ط 0،ج 16،ص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يحيى الهاشمي القصار
</w:t>
      </w:r>
    </w:p>
    <w:p>
      <w:pPr/>
      <w:r>
        <w:rPr/>
        <w:t xml:space="preserve">يونس بن يحيى الهاشمي القصار. جاور بمكة، وحدث عن الارموى، وأبي الوقت، وطائفة.</w:t>
      </w:r>
    </w:p>
    <w:p/>
    <w:p>
      <w:pPr/>
      <w:r>
        <w:rPr/>
        <w:t xml:space="preserve">قال ابن النجار: متساهل في روايته.</w:t>
      </w:r>
    </w:p>
    <w:p/>
    <w:p>
      <w:pPr/>
      <w:r>
        <w:rPr/>
        <w:t xml:space="preserve">قلت: صدوق، حسن الحال.</w:t>
      </w:r>
    </w:p>
    <w:p>
      <w:pPr>
        <w:jc w:val="start"/>
        <w:bidi/>
      </w:pPr>
      <w:r>
        <w:rPr>
          <w:sz w:val="24"/>
          <w:szCs w:val="24"/>
          <w:b w:val="1"/>
          <w:bCs w:val="1"/>
          <w:rtl/>
        </w:rPr>
        <w:t xml:space="preserve">
ميزان الاعتدال في نقد الرجال،(دار المعرفة للطباعة والنشر، بيروت - لبنان،1963،ط 1،ج 4،ص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يحيى بن أبي الحسن بن أبي البركات بن أحمد بن عبيد الله ابن محمد بن أحمد بن حمزة
</w:t>
      </w:r>
    </w:p>
    <w:p>
      <w:pPr/>
      <w:r>
        <w:rPr/>
        <w:t xml:space="preserve">يونس بن يحيى بن أبي الحسن بن أبي البركات بن أحمد بن عبيد الله ابن محمد بن أحمد بن حمزة بن إسماعيل بن محمد بن عيسى بن موسى بن محمد بن علي بن عبد الله بن الحسين بن العباس بن عبد المطلب الهاشمي العباسي، أبو محمد، وأبو الحسن، المعروف بالقصار الب غدادي: </w:t>
      </w:r>
    </w:p>
    <w:p/>
    <w:p>
      <w:pPr/>
      <w:r>
        <w:rPr/>
        <w:t xml:space="preserve">نزيل مكة، حدث عن أبي الوقت بصحيح البخاري، وسمع عليه، وعلى جماعة، أشياء كثيرة منهم القاضي أبو الفضل محمد بن عمر بن يوسف الأرموى، سمع منه الأعيان، منهم: القاضي إسحاق الطبري، وأقام بزبيد مدة، أخذ عنه بها جماعة، منهم الفقيه إسماعيل بن محمد الحضرمى، ووثق، وتكلم فيه ابن مسدى بما لا يقدح فيه، وهو</w:t>
      </w:r>
    </w:p>
    <w:p/>
    <w:p>
      <w:pPr/>
      <w:r>
        <w:rPr/>
        <w:t xml:space="preserve">أنه حدث بصحيح البخاري، من نسخة من رواية أبي ذر الهروي، لما بين الحموي شيخ أبي ذر، وشيخ شيخ أبي الوقت، وبين شيخ أبي ذر والكشميهنى، والمستملى، من الخلاف فىلتقديم والتأخير، والزيادة والنقص، ولبس خرقة التصوف، من الشيخ عبد القادر الكيلانى، لبسها منه الشيخ محيي الدين بن العربي واختلف في وفاته، فقيل يوم الخميس ثامن صفر، وقيل في حادي عشر شعبان، من سنة ثمان وستمائة بمكة، ودفن بالمعلاة.</w:t>
      </w:r>
    </w:p>
    <w:p/>
    <w:p>
      <w:pPr/>
      <w:r>
        <w:rPr/>
        <w:t xml:space="preserve">وذكره الجندي في «تاريخ أهل اليمن»، وقال: أقام بمكة مدة إماما بالمقام. وهذا غريب، وأظنه وهم في ذلك، لأن الإمام به في وقت مجاورة يونس، وغيره، اللهم إلا أن يكون أم نيابة، وهو بعيد من مراد الجندي. والله أعلم.</w:t>
      </w:r>
    </w:p>
    <w:p/>
    <w:p>
      <w:pPr/>
      <w:r>
        <w:rPr/>
        <w:t xml:space="preserve">تم الجزء السابع من تجزئتنا، وهو يقابل نصف الربع من تجزئة المؤلف. ويليه إن شاء الله: الجزء الثامن. وأوله: «باب الكنى».</w:t>
      </w:r>
    </w:p>
    <w:p/>
    <w:p>
      <w:pPr/>
      <w:r>
        <w:rPr/>
        <w:t xml:space="preserve">باب الكنى</w:t>
      </w:r>
    </w:p>
    <w:p/>
    <w:p>
      <w:pPr/>
      <w:r>
        <w:rPr/>
        <w:t xml:space="preserve">هذا الباب يذكر فيه ذوى الكنى، من لم يعرف له اسم، ومن عرف بكنيته، ولكن اختلف في اسمه، ومن اشتهر بكنيته وإن كان اسمه معروفا، وهؤلاء لم أترجمهم كما ترجمت المذكورين في هذا الباب، لتقدم تراجمهم في محلها من الكتاب، وإنما أذكر كنية الإنسان منهم، وما يعرف به من نسبته إلى قبيلة أو بلد، ثم أذكر اسمه واسم أبيه وجده في الغالب. وذكرت في آخر هذا الباب أربعة فصول:</w:t>
      </w:r>
    </w:p>
    <w:p/>
    <w:p>
      <w:pPr/>
      <w:r>
        <w:rPr/>
        <w:t xml:space="preserve">الأول: فيمن اشتهر بلقبه مضافا إلى الدين، مثل: محب الدين، وغيره من الألقاب.</w:t>
      </w:r>
    </w:p>
    <w:p/>
    <w:p>
      <w:pPr/>
      <w:r>
        <w:rPr/>
        <w:t xml:space="preserve">والثاني: فيمن اشتهر بالنسبة إلى أبيه أو جده، مثل: ابن جريج، وابن أبي حرمى، وشبه ذلك.</w:t>
      </w:r>
    </w:p>
    <w:p/>
    <w:p>
      <w:pPr/>
      <w:r>
        <w:rPr/>
        <w:t xml:space="preserve">والثالث: فيمن اشتهر بالنسبة إلى قبيلة، أو بلد، أو لقب مفرد، مثل: الإخشيد.</w:t>
      </w:r>
    </w:p>
    <w:p/>
    <w:p>
      <w:pPr/>
      <w:r>
        <w:rPr/>
        <w:t xml:space="preserve">وكل من ذكرناه في هذه الثلاثة الفصول، ذكرناه على صفة من ذكرناه في هذا الباب، ممن اشتهر بكنيته، ولم يختلف في اسمه إلا قليلا.</w:t>
      </w:r>
    </w:p>
    <w:p/>
    <w:p>
      <w:pPr/>
      <w:r>
        <w:rPr/>
        <w:t xml:space="preserve">والفصل الرابع: فيمن نسب إلى أبيه أو جده، ولم أعرف اسمه، وفيه جماعة سواهم معروفون بصفات، مثل: شاب، أو شاعر، أو أسود، وليس منهم من يعرف بالنسبة إلى أحد.</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2026-07-27T08:52:41+03:00</dcterms:created>
  <dcterms:modified xsi:type="dcterms:W3CDTF">2026-07-27T08:52:41+03:00</dcterms:modified>
</cp:coreProperties>
</file>

<file path=docProps/custom.xml><?xml version="1.0" encoding="utf-8"?>
<Properties xmlns="http://schemas.openxmlformats.org/officeDocument/2006/custom-properties" xmlns:vt="http://schemas.openxmlformats.org/officeDocument/2006/docPropsVTypes"/>
</file>