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الحنفي
</w:t>
      </w:r>
    </w:p>
    <w:p>
      <w:pPr>
        <w:jc w:val="start"/>
        <w:bidi/>
      </w:pPr>
      <w:r>
        <w:rPr>
          <w:rFonts w:ascii="arial" w:hAnsi="arial" w:eastAsia="arial" w:cs="arial"/>
          <w:sz w:val="28"/>
          <w:szCs w:val="28"/>
          <w:b w:val="1"/>
          <w:bCs w:val="1"/>
          <w:rtl/>
        </w:rPr>
        <w:t xml:space="preserve">محمد الحنفي
</w:t>
      </w:r>
    </w:p>
    <w:p>
      <w:pPr/>
      <w:r>
        <w:rPr/>
        <w:t xml:space="preserve">محمد الحنفي  محمد بن حسن بن علي التيمي البكري الشاذلي، أبو عبد الله شمس الدين الحنفي: صوفي مصري، من أهل القاهرة. اشتهر بأخبار حكيت عنه مع السلطان فرج بن برقوق وغيره. له ’’الروض النسيق في علم الطريق –خ’’ شرح به كلام شيخه محمد العجان، و’’ديوان –خ’’ ذكره بروكلمن. وللشيخ نور الدين علي بن عمر البتنوني، كتاب ’’السر الصفي في مناقب سيدي محمد الحنفي –ط’’جزآن. </w:t>
      </w:r>
    </w:p>
    <w:p>
      <w:pPr>
        <w:jc w:val="start"/>
        <w:bidi/>
      </w:pPr>
      <w:r>
        <w:rPr>
          <w:sz w:val="24"/>
          <w:szCs w:val="24"/>
          <w:b w:val="1"/>
          <w:bCs w:val="1"/>
          <w:rtl/>
        </w:rPr>
        <w:t xml:space="preserve">
الأعلام،(دار العلم للملايين - بيروت،2002،ط 15،ج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2026-07-27T13:15:58+03:00</dcterms:created>
  <dcterms:modified xsi:type="dcterms:W3CDTF">2026-07-27T13:15:58+03:00</dcterms:modified>
</cp:coreProperties>
</file>

<file path=docProps/custom.xml><?xml version="1.0" encoding="utf-8"?>
<Properties xmlns="http://schemas.openxmlformats.org/officeDocument/2006/custom-properties" xmlns:vt="http://schemas.openxmlformats.org/officeDocument/2006/docPropsVTypes"/>
</file>