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الجراح
</w:t>
      </w:r>
    </w:p>
    <w:p>
      <w:pPr>
        <w:jc w:val="start"/>
        <w:bidi/>
      </w:pPr>
      <w:r>
        <w:rPr>
          <w:rFonts w:ascii="arial" w:hAnsi="arial" w:eastAsia="arial" w:cs="arial"/>
          <w:sz w:val="28"/>
          <w:szCs w:val="28"/>
          <w:b w:val="1"/>
          <w:bCs w:val="1"/>
          <w:rtl/>
        </w:rPr>
        <w:t xml:space="preserve">أبو القاسم الجراح
</w:t>
      </w:r>
    </w:p>
    <w:p>
      <w:pPr/>
      <w:r>
        <w:rPr/>
        <w:t xml:space="preserve">أبو القاسم الجراح عيسى بن داود بن الجراح، أبو القاسم، الكاتب. </w:t>
      </w:r>
    </w:p>
    <w:p/>
    <w:p>
      <w:pPr/>
      <w:r>
        <w:rPr/>
        <w:t xml:space="preserve">ذكر الصولي: أنه كان يكتب لمحمد بن بغا الكبير في خلافة المعتز والمهتدي، فلما قتل المهتدي محمد بن بغا صبرا، تقلد عيسى بعده الخراج بدمشق والأردن سنة ستين ومائتين، ثم عزل، وقدم بغداد، فنكب مع الحسن بن مخلد، ولزم بيته إلى أن ولي أبو الصقر الوزارة، فولاه السييين، ثم قلده عبد الله بن سليمان أعمالا بالأهواز، ثم لزم منزله إلى أن مات سنة إحدى وثمانين ومائتين، وبلغ سبعا و خمسين سنة. </w:t>
      </w:r>
    </w:p>
    <w:p/>
    <w:p>
      <w:pPr/>
      <w:r>
        <w:rPr/>
        <w:t xml:space="preserve">وله من الولد: أبو جعفر محمد العرمرم، وأبو الحسن علي، وأبو إسحاق إبراهيم، وأبو سليمان داود، والقاسم، وموسى، وعبد الرحمن، وعبد الوهاب.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2026-07-27T09:06:37+03:00</dcterms:created>
  <dcterms:modified xsi:type="dcterms:W3CDTF">2026-07-27T09:06:37+03:00</dcterms:modified>
</cp:coreProperties>
</file>

<file path=docProps/custom.xml><?xml version="1.0" encoding="utf-8"?>
<Properties xmlns="http://schemas.openxmlformats.org/officeDocument/2006/custom-properties" xmlns:vt="http://schemas.openxmlformats.org/officeDocument/2006/docPropsVTypes"/>
</file>