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الخطمي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الخطمي
</w:t>
      </w:r>
    </w:p>
    <w:p>
      <w:pPr/>
      <w:r>
        <w:rPr/>
        <w:t xml:space="preserve">أبو جعفر الخطمي عمير بن يزيد بن عمير أبو جعفر الخطمي المدني، نزيل البصرة. </w:t>
      </w:r>
    </w:p>
    <w:p/>
    <w:p>
      <w:pPr/>
      <w:r>
        <w:rPr/>
        <w:t xml:space="preserve">وثقة ابن معين. </w:t>
      </w:r>
    </w:p>
    <w:p/>
    <w:p>
      <w:pPr/>
      <w:r>
        <w:rPr/>
        <w:t xml:space="preserve">وتوفي في حدود الخمسين والمائة. </w:t>
      </w:r>
    </w:p>
    <w:p/>
    <w:p>
      <w:pPr/>
      <w:r>
        <w:rPr/>
        <w:t xml:space="preserve">وروى له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2026-07-27T10:29:34+03:00</dcterms:created>
  <dcterms:modified xsi:type="dcterms:W3CDTF">2026-07-27T10:29:34+03:00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