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الفرغاني الحنفي
</w:t>
      </w:r>
    </w:p>
    <w:p>
      <w:pPr>
        <w:jc w:val="start"/>
        <w:bidi/>
      </w:pPr>
      <w:r>
        <w:rPr>
          <w:rFonts w:ascii="arial" w:hAnsi="arial" w:eastAsia="arial" w:cs="arial"/>
          <w:sz w:val="28"/>
          <w:szCs w:val="28"/>
          <w:b w:val="1"/>
          <w:bCs w:val="1"/>
          <w:rtl/>
        </w:rPr>
        <w:t xml:space="preserve">الفرغاني الحنفي
</w:t>
      </w:r>
    </w:p>
    <w:p>
      <w:pPr/>
      <w:r>
        <w:rPr/>
        <w:t xml:space="preserve">الفرغاني الحنفي عمر بن محمد بن عمر، أبو حفص، الفقيه الحنفي. </w:t>
      </w:r>
    </w:p>
    <w:p/>
    <w:p>
      <w:pPr/>
      <w:r>
        <w:rPr/>
        <w:t xml:space="preserve">من أهل فرغانة، تفقه ببلاده وكان إماما في الفقه والأصول والخلاف والكلام وعلم العربية، وكتب خطا مليحا، وله نظم ونثر، قدم من بغداد شابا، وصحب الشهاب السهروردي. وعرض عليه تدريس ’’التنبيه’’، فلم يجب، ثم ولي تدريس المستنصرية. وقدمه في الزهد والحقيقة متمكنة، وكان كثير العبادة، دائم الخلوة، مجردا من أسباب الدنيا، مع حسن خلق وتواضع، وشرف نفس ولطف طبع. </w:t>
      </w:r>
    </w:p>
    <w:p/>
    <w:p>
      <w:pPr/>
      <w:r>
        <w:rPr/>
        <w:t xml:space="preserve">مات سنة اثنتين وثلاثين وستمائة، وقد قارب السبعين</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2026-07-27T10:29:35+03:00</dcterms:created>
  <dcterms:modified xsi:type="dcterms:W3CDTF">2026-07-27T10:29:35+03:00</dcterms:modified>
</cp:coreProperties>
</file>

<file path=docProps/custom.xml><?xml version="1.0" encoding="utf-8"?>
<Properties xmlns="http://schemas.openxmlformats.org/officeDocument/2006/custom-properties" xmlns:vt="http://schemas.openxmlformats.org/officeDocument/2006/docPropsVTypes"/>
</file>