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النجار
</w:t>
      </w:r>
    </w:p>
    <w:p>
      <w:pPr>
        <w:jc w:val="start"/>
        <w:bidi/>
      </w:pPr>
      <w:r>
        <w:rPr>
          <w:rFonts w:ascii="arial" w:hAnsi="arial" w:eastAsia="arial" w:cs="arial"/>
          <w:sz w:val="28"/>
          <w:szCs w:val="28"/>
          <w:b w:val="1"/>
          <w:bCs w:val="1"/>
          <w:rtl/>
        </w:rPr>
        <w:t xml:space="preserve">ابن النجار
</w:t>
      </w:r>
    </w:p>
    <w:p>
      <w:pPr/>
      <w:r>
        <w:rPr/>
        <w:t xml:space="preserve">ابن النجار علي بن محمود بن الحسن بن هبة الله، أبو الحسن البغداذي البزاز، أخو الحافظ محب الدين بن النجار. قرأ الفرائض والحساب، وبرع فيهما، وصار أبرع أهل زمانه بقسمة التركات. وكان يعرف الجبر والمقابلة، ويستخرج العويص من المسائل من غير أن يكتب بيده شيئا، وسأله أبو البقاء العكبري عن مسائل عويصة، فأجابه عنها من غير توقف، فعجب منه وقال: ما رأيت مثل هذا الرجل، وأمره بأن يضع خطه في الفتاوي. وكان يفتي إلى أن توفي سنة إحدى عشرة وست مائة، وولد سنة أربع وستين وخمس مائة. وكان كثير الصوم والصلاة والذكر، وله أوراد بالليل والنهار. وولاه أبو القاسم بن الدامغاني النظر في أموال الأيتام، فلما عزل القاضي قبض عليه وأهلك.</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2026-07-27T02:40:33+03:00</dcterms:created>
  <dcterms:modified xsi:type="dcterms:W3CDTF">2026-07-27T02:40:33+03:00</dcterms:modified>
</cp:coreProperties>
</file>

<file path=docProps/custom.xml><?xml version="1.0" encoding="utf-8"?>
<Properties xmlns="http://schemas.openxmlformats.org/officeDocument/2006/custom-properties" xmlns:vt="http://schemas.openxmlformats.org/officeDocument/2006/docPropsVTypes"/>
</file>