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الحسن الجذامي
</w:t>
      </w:r>
    </w:p>
    <w:p>
      <w:pPr>
        <w:jc w:val="start"/>
        <w:bidi/>
      </w:pPr>
      <w:r>
        <w:rPr>
          <w:rFonts w:ascii="arial" w:hAnsi="arial" w:eastAsia="arial" w:cs="arial"/>
          <w:sz w:val="28"/>
          <w:szCs w:val="28"/>
          <w:b w:val="1"/>
          <w:bCs w:val="1"/>
          <w:rtl/>
        </w:rPr>
        <w:t xml:space="preserve">أبو الحسن الجذامي
</w:t>
      </w:r>
    </w:p>
    <w:p>
      <w:pPr/>
      <w:r>
        <w:rPr/>
        <w:t xml:space="preserve">أبو الحسن الجذامي علي بن محمد بن عبد الله الجذامي، من أهل المرية، وينسب إلى برجة، من عملها. يكنى أبا الحسن. سمع من الغساني والصدفي وغيرهما، وكان فقيها مشاورا صادعا بالحق. أوجب في كتب أبي حامد الغزالي المحرقة بقرطبة، على يد قاضيها أبي عبد الله أحمد بن حمدين بأمر والي المغرب إذ ذاك، تأديب محرقها، وتضمينه قيمتها. وتوفي سنة تسع وخمس مائة.</w:t>
      </w:r>
    </w:p>
    <w:p>
      <w:pPr>
        <w:jc w:val="start"/>
        <w:bidi/>
      </w:pPr>
      <w:r>
        <w:rPr>
          <w:sz w:val="24"/>
          <w:szCs w:val="24"/>
          <w:b w:val="1"/>
          <w:bCs w:val="1"/>
          <w:rtl/>
        </w:rPr>
        <w:t xml:space="preserve">
الوافي بالوفيات،(دار فرانز شتاينر، فيسبادن، ألمانيا / دار إحياء التراث - بيروت،2000،ط 1،ج 22،ص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2026-07-27T12:16:17+03:00</dcterms:created>
  <dcterms:modified xsi:type="dcterms:W3CDTF">2026-07-27T12:16:17+03:00</dcterms:modified>
</cp:coreProperties>
</file>

<file path=docProps/custom.xml><?xml version="1.0" encoding="utf-8"?>
<Properties xmlns="http://schemas.openxmlformats.org/officeDocument/2006/custom-properties" xmlns:vt="http://schemas.openxmlformats.org/officeDocument/2006/docPropsVTypes"/>
</file>