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ضياء الدين جربان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ضياء الدين جربان الحمصي
</w:t>
      </w:r>
    </w:p>
    <w:p>
      <w:pPr/>
      <w:r>
        <w:rPr/>
        <w:t xml:space="preserve">ضياء الدين جربان الحمصي علي بن إدريس، المعروف بجربان، ضياء الدين أبو الحسن علي الحمصي الشاعر، نزيل حماة، نقلت من خط شهاب الدين القوصي في ’’معجمه’’ قال: أنشدني لنفسه بحماة سنة ست وستمائة:</w:t>
      </w:r>
    </w:p>
    <w:p/>
    <w:p>
      <w:pPr>
        <w:jc w:val="center"/>
      </w:pPr>
      <w:r>
        <w:rPr>
          <w:color w:val="ff0000"/>
        </w:rPr>
        <w:t xml:space="preserve">دوين قبا سنحن من القباب</w:t>
      </w:r>
      <w:r>
        <w:rPr>
          <w:color w:val="ff0000"/>
        </w:rPr>
        <w:t xml:space="preserve">      </w:t>
      </w:r>
      <w:r>
        <w:rPr>
          <w:color w:val="ff0000"/>
        </w:rPr>
        <w:t xml:space="preserve">ظباء صيدهن ليوث غاب</w:t>
      </w:r>
    </w:p>
    <w:p/>
    <w:p>
      <w:pPr>
        <w:jc w:val="center"/>
      </w:pPr>
      <w:r>
        <w:rPr>
          <w:color w:val="ff0000"/>
        </w:rPr>
        <w:t xml:space="preserve">رعا بيت عراب وانتساب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الجمال إلى الرعابيب العراب</w:t>
      </w:r>
    </w:p>
    <w:p/>
    <w:p>
      <w:pPr>
        <w:jc w:val="center"/>
      </w:pPr>
      <w:r>
        <w:rPr>
          <w:color w:val="ff0000"/>
        </w:rPr>
        <w:t xml:space="preserve">يتابعن القطيعة بالتجني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وإفراط التجنب بالعتاب</w:t>
      </w:r>
    </w:p>
    <w:p/>
    <w:p>
      <w:pPr>
        <w:jc w:val="center"/>
      </w:pPr>
      <w:r>
        <w:rPr>
          <w:color w:val="ff0000"/>
        </w:rPr>
        <w:t xml:space="preserve">حسان عندهن الوصل هجر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تجرد للنوى قضب اكتئاب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2026-07-27T17:45:05+03:00</dcterms:created>
  <dcterms:modified xsi:type="dcterms:W3CDTF">2026-07-27T17:45:05+03:00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