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القسطلاني
</w:t>
      </w:r>
    </w:p>
    <w:p>
      <w:pPr>
        <w:jc w:val="start"/>
        <w:bidi/>
      </w:pPr>
      <w:r>
        <w:rPr>
          <w:rFonts w:ascii="arial" w:hAnsi="arial" w:eastAsia="arial" w:cs="arial"/>
          <w:sz w:val="28"/>
          <w:szCs w:val="28"/>
          <w:b w:val="1"/>
          <w:bCs w:val="1"/>
          <w:rtl/>
        </w:rPr>
        <w:t xml:space="preserve">تاج الدين ابن القسطلاني
</w:t>
      </w:r>
    </w:p>
    <w:p>
      <w:pPr/>
      <w:r>
        <w:rPr/>
        <w:t xml:space="preserve">تاج الدين ابن القسطلاني علي بن أحمد بن علي بن محمد بن الحسن بن عبد الله بن أحمد بن ميمون الإمام المفتي تاج الدين، ابن الزاهد أبي العباس القسطلاني القيسي المصري المالكي المعدل، سمع بمكة من يحيى بن ياقوت، وزاهر بن رستم، ويونس بن يحيى القاسمي، وابن البناء، وبمصر من المطهر بن أبي بكر البيهقي، وعلي بن خلف الكوفي، وابن المفضل الحافظ، ودرس بالمالكية المجاورة للجامع العتيق، وولي مشيخة دار الحديث الكاملية بعد الرشيد العطار، وكان من أعلام الأئمة المشهورين.</w:t>
      </w:r>
    </w:p>
    <w:p/>
    <w:p>
      <w:pPr/>
      <w:r>
        <w:rPr/>
        <w:t xml:space="preserve">روى عنه الدمياطي والقاضي بدر الدين بن جماعة، وعلم الدين الدواداري، وهو أخو الشيخ قطب الدين المشهور.</w:t>
      </w:r>
    </w:p>
    <w:p/>
    <w:p>
      <w:pPr/>
      <w:r>
        <w:rPr/>
        <w:t xml:space="preserve">توفي سنة خمس وستين وستمائة، وله سبع وسبعون سنة وأشهر.</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2026-06-21T16:02:35+03:00</dcterms:created>
  <dcterms:modified xsi:type="dcterms:W3CDTF">2026-06-21T16:02:35+03:00</dcterms:modified>
</cp:coreProperties>
</file>

<file path=docProps/custom.xml><?xml version="1.0" encoding="utf-8"?>
<Properties xmlns="http://schemas.openxmlformats.org/officeDocument/2006/custom-properties" xmlns:vt="http://schemas.openxmlformats.org/officeDocument/2006/docPropsVTypes"/>
</file>