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العقيقي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العقيقي العلوي
</w:t>
      </w:r>
    </w:p>
    <w:p>
      <w:pPr/>
      <w:r>
        <w:rPr/>
        <w:t xml:space="preserve">العقيقي العلوي علي بن أحمد العقيقي العلوي، ذكره أبو جعفر الطوسي في مصنفي الإمامية، وقال: له من الكتب، كتاب ’’المدينة’’، وكتاب ’’بناء المسجدين’’، وكتاب ’’النسب’’.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العقيقي
</w:t>
      </w:r>
    </w:p>
    <w:p>
      <w:pPr/>
      <w:r>
        <w:rPr/>
        <w:t xml:space="preserve">العقيقي </w:t>
      </w:r>
    </w:p>
    <w:p/>
    <w:p>
      <w:pPr/>
      <w:r>
        <w:rPr/>
        <w:t xml:space="preserve">علي بن أحمد بن علي بن محمد بن جعفر العلوي الشيعي الشهير بالعقيقي. م سنة 299 هـ.</w:t>
      </w:r>
    </w:p>
    <w:p/>
    <w:p>
      <w:pPr/>
      <w:r>
        <w:rPr/>
        <w:t xml:space="preserve">له: كتاب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2026-06-21T13:33:07+03:00</dcterms:created>
  <dcterms:modified xsi:type="dcterms:W3CDTF">2026-06-21T13:33:07+03:00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