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الليثي المدني (عطاء)
</w:t>
      </w:r>
    </w:p>
    <w:p>
      <w:pPr>
        <w:jc w:val="start"/>
        <w:bidi/>
      </w:pPr>
      <w:r>
        <w:rPr>
          <w:rFonts w:ascii="arial" w:hAnsi="arial" w:eastAsia="arial" w:cs="arial"/>
          <w:sz w:val="28"/>
          <w:szCs w:val="28"/>
          <w:b w:val="1"/>
          <w:bCs w:val="1"/>
          <w:rtl/>
        </w:rPr>
        <w:t xml:space="preserve">أبو محمد الليثي المدني (عطاء)
</w:t>
      </w:r>
    </w:p>
    <w:p>
      <w:pPr/>
      <w:r>
        <w:rPr/>
        <w:t xml:space="preserve">أبو محمد الليثي المدني (عطاء) عطاء بن يزيد، أبو محمد الليثي الجندعي المدني نزيل الشام، وحدث عن تميم الداري، وأبي هريرة، وأبي أيوب الأنصاري، وأبي ثعلبة الخشني، وأبي سعيد الخدري، كان من علماء التابعين وثقاتهم، وتوفي سنة سبع ومائة،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2026-06-19T12:37:06+03:00</dcterms:created>
  <dcterms:modified xsi:type="dcterms:W3CDTF">2026-06-19T12:37:06+03:00</dcterms:modified>
</cp:coreProperties>
</file>

<file path=docProps/custom.xml><?xml version="1.0" encoding="utf-8"?>
<Properties xmlns="http://schemas.openxmlformats.org/officeDocument/2006/custom-properties" xmlns:vt="http://schemas.openxmlformats.org/officeDocument/2006/docPropsVTypes"/>
</file>