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ابن دقيق العيد الشافعي
</w:t>
      </w:r>
    </w:p>
    <w:p>
      <w:pPr>
        <w:jc w:val="start"/>
        <w:bidi/>
      </w:pPr>
      <w:r>
        <w:rPr>
          <w:rFonts w:ascii="arial" w:hAnsi="arial" w:eastAsia="arial" w:cs="arial"/>
          <w:sz w:val="28"/>
          <w:szCs w:val="28"/>
          <w:b w:val="1"/>
          <w:bCs w:val="1"/>
          <w:rtl/>
        </w:rPr>
        <w:t xml:space="preserve">علم الدين ابن دقيق العيد الشافعي
</w:t>
      </w:r>
    </w:p>
    <w:p>
      <w:pPr/>
      <w:r>
        <w:rPr/>
        <w:t xml:space="preserve">علم الدين ابن دقيق العيد الشافعي عثمان بن محمد بن علي بن وهب بن مطيع علم الدين. أبو عمرو القشيري ابن الشيخ تقي الدين ابن دقيق العبد. سمع من أصحاب البوصيري، وكان من الفقهاء الفضلاء. درس بالفاضلية بالقاهرة، ودرس بقوص وولي بها وكالة بيت المال. وكان ذكي الفطرة أجازه الشيخ جلال الدين أحمد الدشناوي بالفتوى، وكتب في إجازته: وقد أجازه غرس مجده وتلميذ جده. وكان حاد القريحة، حاضر الجواب تكلم هو وابن قرصة فقال له ابن قرصة: كبرتم بم؟ ألا إنك ابن دقيق العيد! فقال له: نعم! كل قدح منا يجيء ألف قرصة منكم! فقال ابن قرصة: جواب مسكت. </w:t>
      </w:r>
    </w:p>
    <w:p/>
    <w:p>
      <w:pPr/>
      <w:r>
        <w:rPr/>
        <w:t xml:space="preserve">ولد بقوص سنة اثنتين وخمسين وست ماية. وتوفي بها سنة إحدى وتسعين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2026-06-10T16:47:23+03:00</dcterms:created>
  <dcterms:modified xsi:type="dcterms:W3CDTF">2026-06-10T16:47:23+03:00</dcterms:modified>
</cp:coreProperties>
</file>

<file path=docProps/custom.xml><?xml version="1.0" encoding="utf-8"?>
<Properties xmlns="http://schemas.openxmlformats.org/officeDocument/2006/custom-properties" xmlns:vt="http://schemas.openxmlformats.org/officeDocument/2006/docPropsVTypes"/>
</file>