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قاضي حلب
</w:t>
      </w:r>
    </w:p>
    <w:p>
      <w:pPr>
        <w:jc w:val="start"/>
        <w:bidi/>
      </w:pPr>
      <w:r>
        <w:rPr>
          <w:rFonts w:ascii="arial" w:hAnsi="arial" w:eastAsia="arial" w:cs="arial"/>
          <w:sz w:val="28"/>
          <w:szCs w:val="28"/>
          <w:b w:val="1"/>
          <w:bCs w:val="1"/>
          <w:rtl/>
        </w:rPr>
        <w:t xml:space="preserve">ابن البارزي قاضي حلب
</w:t>
      </w:r>
    </w:p>
    <w:p>
      <w:pPr/>
      <w:r>
        <w:rPr/>
        <w:t xml:space="preserve">ابن البارزي قاضي حلب عثمان بن محمد -ابن قاضي حماه نجم الدين عبد الرحيم. الإمام البارع. فخر الدين أبو عمرو. قاضي حلب. ابن البارزي الشافعي. مولده سنة ثمان وستين، وتوفي سنة ثلاثين وسبع مائة. </w:t>
      </w:r>
    </w:p>
    <w:p/>
    <w:p>
      <w:pPr/>
      <w:r>
        <w:rPr/>
        <w:t xml:space="preserve">لحق جده وأخذ عنه وعن عمه قاضي القضاة شرف الدين وكان يحفظ الحاوي ويفهمه وينزله على الرافعي، ويعرف ألفية ابن مالك. ناب في الحكم بحماه وولي قضاء حمص، ورجع إلى حماه وولي الخطابة بها ونيابة القضاء. ثم ولي القضاة بحلب. وكان ذا دين وصرامة وجودة سيرة. حج غير مرة، وحدث بمسند الشافعي عن ابن النصيبي. وتفقه به جماعة. توفي فجأة بعد أن توضأ وجلس مجلس حكمه ينتظر إقامة صلاة العصر في صفر بحلب.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w:t>
      </w:r>
    </w:p>
    <w:p>
      <w:pPr/>
      <w:r>
        <w:rPr/>
        <w:t xml:space="preserve">ابن البارزي فخر الدين عثمان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2026-07-27T12:41:34+03:00</dcterms:created>
  <dcterms:modified xsi:type="dcterms:W3CDTF">2026-07-27T12:41:34+03:00</dcterms:modified>
</cp:coreProperties>
</file>

<file path=docProps/custom.xml><?xml version="1.0" encoding="utf-8"?>
<Properties xmlns="http://schemas.openxmlformats.org/officeDocument/2006/custom-properties" xmlns:vt="http://schemas.openxmlformats.org/officeDocument/2006/docPropsVTypes"/>
</file>