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ابن أبي عصرون
</w:t>
      </w:r>
    </w:p>
    <w:p>
      <w:pPr>
        <w:jc w:val="start"/>
        <w:bidi/>
      </w:pPr>
      <w:r>
        <w:rPr>
          <w:rFonts w:ascii="arial" w:hAnsi="arial" w:eastAsia="arial" w:cs="arial"/>
          <w:sz w:val="28"/>
          <w:szCs w:val="28"/>
          <w:b w:val="1"/>
          <w:bCs w:val="1"/>
          <w:rtl/>
        </w:rPr>
        <w:t xml:space="preserve">شرف الدين ابن أبي عصرون
</w:t>
      </w:r>
    </w:p>
    <w:p>
      <w:pPr/>
      <w:r>
        <w:rPr/>
        <w:t xml:space="preserve">شرف الدين ابن أبي عصرون عثمان بن محمد بن عبد الله بن محمد بن هبة الله بن علي بن المطهر بن أبي عصرون. الصدر الرئيس شرف الدين أبو عمرو ابن القاضي أبي حامد ابن قاضي القضاة أبي سعد التميمي الشافعي، أخو محيي الدين عمر. ولد بدمشق سنة إحدى وثمانين وخمس مائة. وتوفي سنة ثمان وخمسين وست مائة. ولم يرو عن جده شيئا، وسمع وروى. وكان جوادا مفضالا أنفق أموالا عظيمة إلى أن افتقر. وكان أبوه خلف له من الأموال والخيل والخدم والأملاك شيئا كثيرا من ذلك سطل بلور قدر المد أو أكبر بطوق ذهب وهو ملآن جواهر نفيسة فأذهب الجميع.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2026-06-10T16:46:00+03:00</dcterms:created>
  <dcterms:modified xsi:type="dcterms:W3CDTF">2026-06-10T16:46:00+03:00</dcterms:modified>
</cp:coreProperties>
</file>

<file path=docProps/custom.xml><?xml version="1.0" encoding="utf-8"?>
<Properties xmlns="http://schemas.openxmlformats.org/officeDocument/2006/custom-properties" xmlns:vt="http://schemas.openxmlformats.org/officeDocument/2006/docPropsVTypes"/>
</file>