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إمام مسجد القرشيين
</w:t>
      </w:r>
    </w:p>
    <w:p>
      <w:pPr>
        <w:jc w:val="start"/>
        <w:bidi/>
      </w:pPr>
      <w:r>
        <w:rPr>
          <w:rFonts w:ascii="arial" w:hAnsi="arial" w:eastAsia="arial" w:cs="arial"/>
          <w:sz w:val="28"/>
          <w:szCs w:val="28"/>
          <w:b w:val="1"/>
          <w:bCs w:val="1"/>
          <w:rtl/>
        </w:rPr>
        <w:t xml:space="preserve">عثمان إمام مسجد القرشيين
</w:t>
      </w:r>
    </w:p>
    <w:p>
      <w:pPr/>
      <w:r>
        <w:rPr/>
        <w:t xml:space="preserve">عثمان إمام مسجد القرشيين عثمان بن إبراهيم ابن أبي علي الحمصي، المقرئ، الصالح، أبو عمرو الصالحي، النساج، إمام مسجد القرشيين. إنسان خير متودد، متواضع، حسن البشر. سمع حضورا من أبي الزبيدي نصف البخاري الأخير، وسمع من ابن اللتي. لكن يصحف في كتابة الأسماء الحمصي بالمصري فذهب سماعه، وسمع كثيرا من الحافظ الضياء. عاش ثلاثا وثمانين سنة. وسمع منه الواني والمقاتلي، وقاضي القضاة تقي الدين السبكي، والمحب وجماعة. </w:t>
      </w:r>
    </w:p>
    <w:p/>
    <w:p>
      <w:pPr/>
      <w:r>
        <w:rPr/>
        <w:t xml:space="preserve">وتوفي سنة عشر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2026-06-10T15:47:30+03:00</dcterms:created>
  <dcterms:modified xsi:type="dcterms:W3CDTF">2026-06-10T15:47:30+03:00</dcterms:modified>
</cp:coreProperties>
</file>

<file path=docProps/custom.xml><?xml version="1.0" encoding="utf-8"?>
<Properties xmlns="http://schemas.openxmlformats.org/officeDocument/2006/custom-properties" xmlns:vt="http://schemas.openxmlformats.org/officeDocument/2006/docPropsVTypes"/>
</file>