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الجليد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الجليد
</w:t>
      </w:r>
    </w:p>
    <w:p>
      <w:pPr/>
      <w:r>
        <w:rPr/>
        <w:t xml:space="preserve">ابن أبي الجليد يعرف بابن أبي الجليد، بالجيم وبعد اللام ياء آخر الحروف، ودال مهملة. </w:t>
      </w:r>
    </w:p>
    <w:p/>
    <w:p>
      <w:pPr/>
      <w:r>
        <w:rPr/>
        <w:t xml:space="preserve">نحوي من أهل المدينة. وكان أبو الجليد أعرابيا بدويا، علامة. وكان الضحاك ابن عثمان يروي عنه. وأبو الجليد هو القائل، وقد رأى جارية سوداء غليظة الجسم: </w:t>
      </w:r>
    </w:p>
    <w:p/>
    <w:p>
      <w:pPr>
        <w:jc w:val="center"/>
      </w:pPr>
      <w:r>
        <w:rPr>
          <w:color w:val="ff0000"/>
        </w:rPr>
        <w:t xml:space="preserve">إن لا يصبني أجلي فأخترم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أشتر من مالي صناعا كالصنم</w:t>
      </w:r>
    </w:p>
    <w:p/>
    <w:p>
      <w:pPr>
        <w:jc w:val="center"/>
      </w:pPr>
      <w:r>
        <w:rPr>
          <w:color w:val="ff0000"/>
        </w:rPr>
        <w:t xml:space="preserve">عريضة المعطس خشناء القدم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تكون أم ولد وتختدم</w:t>
      </w:r>
    </w:p>
    <w:p/>
    <w:p>
      <w:pPr>
        <w:jc w:val="center"/>
      </w:pPr>
      <w:r>
        <w:rPr>
          <w:color w:val="ff0000"/>
        </w:rPr>
        <w:t xml:space="preserve">إذا ابنها جاء بشر لم يلم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يقتل الناس ولا يوفي الذمم</w:t>
      </w:r>
    </w:p>
    <w:p/>
    <w:p>
      <w:pPr/>
      <w:r>
        <w:rPr/>
        <w:t xml:space="preserve">أبو عبيد الهروي: أحمد بن محمد بن محمد. </w:t>
      </w:r>
    </w:p>
    <w:p/>
    <w:p>
      <w:pPr/>
      <w:r>
        <w:rPr/>
        <w:t xml:space="preserve">أبو عبيد البكري: عبد الله بن عبد العزيز.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2026-06-13T19:33:36+03:00</dcterms:created>
  <dcterms:modified xsi:type="dcterms:W3CDTF">2026-06-13T19:33:36+03:00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