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القاسم النحوي الأزدي
</w:t>
      </w:r>
    </w:p>
    <w:p>
      <w:pPr>
        <w:jc w:val="start"/>
        <w:bidi/>
      </w:pPr>
      <w:r>
        <w:rPr>
          <w:rFonts w:ascii="arial" w:hAnsi="arial" w:eastAsia="arial" w:cs="arial"/>
          <w:sz w:val="28"/>
          <w:szCs w:val="28"/>
          <w:b w:val="1"/>
          <w:bCs w:val="1"/>
          <w:rtl/>
        </w:rPr>
        <w:t xml:space="preserve">أبو القاسم النحوي الأزدي
</w:t>
      </w:r>
    </w:p>
    <w:p>
      <w:pPr/>
      <w:r>
        <w:rPr/>
        <w:t xml:space="preserve">أبو القاسم النحوي الأزدي عبيد الله بن محمد بن جعفر بن محمد بن عبد الله الأزدي. أبو القاسم النحوي. </w:t>
      </w:r>
    </w:p>
    <w:p/>
    <w:p>
      <w:pPr/>
      <w:r>
        <w:rPr/>
        <w:t xml:space="preserve">قال الخطيب: مات سنة ثمان وأربعين وثلاث ماية. وحدث عن محمد بن الجهم السمري بكتاب المعاني للفراء، وعن مسلم بن عيسى الصفار وابن أبي الدنيا وابن قتيبة. روى عنه المعافي بن زكرياء الجريري، وإبراهيم بن أحمد الطبري وغيرهما. حدثنا عنه ابن رزقويه، قال؛ وسألت أبا يعلى محمد ابن السراج عنه: فقال: ضعيف. له كتاب الاختلاف، كتاب النطق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2026-06-10T15:47:14+03:00</dcterms:created>
  <dcterms:modified xsi:type="dcterms:W3CDTF">2026-06-10T15:47:14+03:00</dcterms:modified>
</cp:coreProperties>
</file>

<file path=docProps/custom.xml><?xml version="1.0" encoding="utf-8"?>
<Properties xmlns="http://schemas.openxmlformats.org/officeDocument/2006/custom-properties" xmlns:vt="http://schemas.openxmlformats.org/officeDocument/2006/docPropsVTypes"/>
</file>