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ابن الفراء الحنبلي
</w:t>
      </w:r>
    </w:p>
    <w:p>
      <w:pPr>
        <w:jc w:val="start"/>
        <w:bidi/>
      </w:pPr>
      <w:r>
        <w:rPr>
          <w:rFonts w:ascii="arial" w:hAnsi="arial" w:eastAsia="arial" w:cs="arial"/>
          <w:sz w:val="28"/>
          <w:szCs w:val="28"/>
          <w:b w:val="1"/>
          <w:bCs w:val="1"/>
          <w:rtl/>
        </w:rPr>
        <w:t xml:space="preserve">أبو القاسم ابن الفراء الحنبلي
</w:t>
      </w:r>
    </w:p>
    <w:p>
      <w:pPr/>
      <w:r>
        <w:rPr/>
        <w:t xml:space="preserve">أبو القاسم ابن الفراء الحنبلي عبيد الله بن محمد بن الحسين بن محمد بن خلف الفراء. أبو القاسم ابن القاضي أبي يعلى. الفقيه. الحنبلي. أخو أبي الحسين وأبي حازم محمد ومحمد بني أبي يعلى. وكان أكبر أولاد أبيه. قرأ بالروايات على أبي بكر محمد بن علي بن موسى الخياط، وأبي علي الحسن بن أحمد بن البناء وأبي الخطاب أحمد ابن علي الصوفي وغيرهم. وقرأ الفقه على والده ثم على الشريف أبي جعفر ابن أبي موسى وعلق عنهما مسائل الخلاف. وسافر إلى آمد وقرأ بها على أبي الحسن البغدادي تلميذ والده. وسمع الكثير ببغداد. وصحب الخطيب أبا بكر وأبا عبد الله الصوري - وقيل إنه لم يدرك الصوري - ونقل عنهما معرفة الحديث. وكان يكتب خطا حسنا. </w:t>
      </w:r>
    </w:p>
    <w:p/>
    <w:p>
      <w:pPr/>
      <w:r>
        <w:rPr/>
        <w:t xml:space="preserve">ومات شابا طريا لم يبلغ الثلاثين. وتوفي سنة تسع وستين وأربع ماية في طريق الحج.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2026-06-10T15:45:29+03:00</dcterms:created>
  <dcterms:modified xsi:type="dcterms:W3CDTF">2026-06-10T15:45:29+03:00</dcterms:modified>
</cp:coreProperties>
</file>

<file path=docProps/custom.xml><?xml version="1.0" encoding="utf-8"?>
<Properties xmlns="http://schemas.openxmlformats.org/officeDocument/2006/custom-properties" xmlns:vt="http://schemas.openxmlformats.org/officeDocument/2006/docPropsVTypes"/>
</file>