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البردسيري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البردسيري الكاتب
</w:t>
      </w:r>
    </w:p>
    <w:p>
      <w:pPr/>
      <w:r>
        <w:rPr/>
        <w:t xml:space="preserve">البردسيري الكاتب عبيد الله بن أحمد بن الحسين بن محمد بن عبد الله بن إدريس. أبو القاسم. الكاتب. الأديب. البردسيري؛ من أهل بردسير كرمان. كان عارفا بالأدب واللغة. </w:t>
      </w:r>
    </w:p>
    <w:p/>
    <w:p>
      <w:pPr/>
      <w:r>
        <w:rPr/>
        <w:t xml:space="preserve">توفي سنة نيف وخمس ماية. </w:t>
      </w:r>
    </w:p>
    <w:p/>
    <w:p>
      <w:pPr/>
      <w:r>
        <w:rPr/>
        <w:t xml:space="preserve">ومن تصانيفه عقود المرجان في شواهد الكشف والبيان للثعلبي؛ كتاب مسك العباب في شرح الشهاب -عربية وفارسية؛ كتاب رسائله مجلدان؛ ديوان شعره؛ مختصر في النحو والتصريف؛ ومن شعره: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البردسيري
</w:t>
      </w:r>
    </w:p>
    <w:p>
      <w:pPr/>
      <w:r>
        <w:rPr/>
        <w:t xml:space="preserve">أبو القاسم البردسيري </w:t>
      </w:r>
    </w:p>
    <w:p/>
    <w:p>
      <w:pPr/>
      <w:r>
        <w:rPr/>
        <w:t xml:space="preserve">أبو القاسم عبيد الله بن أحمد بن الحسين بن محمد بن عبد الله بن دارس الكاتب الأديب البردسيري من أهل بردسير كرمان.</w:t>
      </w:r>
    </w:p>
    <w:p/>
    <w:p>
      <w:pPr/>
      <w:r>
        <w:rPr/>
        <w:t xml:space="preserve">كان أديباً، فاضلاً، عارفاً باللغة والأدب له تصانيف كثيرة. كتب إلي الإجازة بجميع تصانيفه وشعره بتحصيل أبي المكارم الأشهبي في ذي الحجة سنة إحدى وعشرين وخمسمئة.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التحبير في المعجم الكبير،(رئاسة ديوان الأوقاف - بغداد،1975،ط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2026-06-10T17:31:51+03:00</dcterms:created>
  <dcterms:modified xsi:type="dcterms:W3CDTF">2026-06-10T17:31:51+03:00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