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المدائني
</w:t>
      </w:r>
    </w:p>
    <w:p>
      <w:pPr/>
      <w:r>
        <w:rPr/>
        <w:t xml:space="preserve">أبو القاسم المدائني عبد الوهاب بن الصباح المدائني. أبو القاسم. الكاتب. ذكره محمد ابن داود بن الجراح في كتاب الورقة؛ وقال: له أشعار جياد؛ وأورد له: </w:t>
      </w:r>
    </w:p>
    <w:p/>
    <w:p>
      <w:pPr>
        <w:jc w:val="center"/>
      </w:pPr>
      <w:r>
        <w:rPr>
          <w:color w:val="ff0000"/>
        </w:rPr>
        <w:t xml:space="preserve">كانوا بعيدا فكنت آملهم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إذا ما تقربوا هجروا</w:t>
      </w:r>
    </w:p>
    <w:p/>
    <w:p>
      <w:pPr>
        <w:jc w:val="center"/>
      </w:pPr>
      <w:r>
        <w:rPr>
          <w:color w:val="ff0000"/>
        </w:rPr>
        <w:t xml:space="preserve">فالبعد منهم على رجائهم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أروح من هجرهم إذا حضروا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2026-06-13T19:38:17+03:00</dcterms:created>
  <dcterms:modified xsi:type="dcterms:W3CDTF">2026-06-13T19:38:17+03:00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