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المظفر ابن الصباغ
</w:t>
      </w:r>
    </w:p>
    <w:p>
      <w:pPr>
        <w:jc w:val="start"/>
        <w:bidi/>
      </w:pPr>
      <w:r>
        <w:rPr>
          <w:rFonts w:ascii="arial" w:hAnsi="arial" w:eastAsia="arial" w:cs="arial"/>
          <w:sz w:val="28"/>
          <w:szCs w:val="28"/>
          <w:b w:val="1"/>
          <w:bCs w:val="1"/>
          <w:rtl/>
        </w:rPr>
        <w:t xml:space="preserve">أبو المظفر ابن الصباغ
</w:t>
      </w:r>
    </w:p>
    <w:p>
      <w:pPr/>
      <w:r>
        <w:rPr/>
        <w:t xml:space="preserve">أبو المظفر ابن الصباغ عبد الواحد بن محمد بن علي بن عبد الواحد بن جعفر بن الصباغ. أبو المظفر ابن أبي غالب. البغدادي. قرأ القرآن على أبي الخير المبارك بن الحسين الغسال. وتفقه على الكيا. وسمع من الشريف أبي الفوارس طراد الزينبي وعلي بن محمد بن محمد ابن الخطيب الأنباري، ورزق الله بن عبد الوهاب التميمي وابن البطر وغيرهم. </w:t>
      </w:r>
    </w:p>
    <w:p/>
    <w:p>
      <w:pPr/>
      <w:r>
        <w:rPr/>
        <w:t xml:space="preserve">قال محب الدين ابن النجار: كانوا يتكلمون فيه. </w:t>
      </w:r>
    </w:p>
    <w:p/>
    <w:p>
      <w:pPr/>
      <w:r>
        <w:rPr/>
        <w:t xml:space="preserve">مولده سنة خمس وسبعين وأربع ماية بالكرخ. ووفاته سنة ثلاث وأربعين وخمس ماية. وكان سماعه صحيحا إلا أنه كان مخلطا في نفسه.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2026-06-13T19:41:54+03:00</dcterms:created>
  <dcterms:modified xsi:type="dcterms:W3CDTF">2026-06-13T19:41:54+03:00</dcterms:modified>
</cp:coreProperties>
</file>

<file path=docProps/custom.xml><?xml version="1.0" encoding="utf-8"?>
<Properties xmlns="http://schemas.openxmlformats.org/officeDocument/2006/custom-properties" xmlns:vt="http://schemas.openxmlformats.org/officeDocument/2006/docPropsVTypes"/>
</file>