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شيطا المقرئ
</w:t>
      </w:r>
    </w:p>
    <w:p>
      <w:pPr>
        <w:jc w:val="start"/>
        <w:bidi/>
      </w:pPr>
      <w:r>
        <w:rPr>
          <w:rFonts w:ascii="arial" w:hAnsi="arial" w:eastAsia="arial" w:cs="arial"/>
          <w:sz w:val="28"/>
          <w:szCs w:val="28"/>
          <w:b w:val="1"/>
          <w:bCs w:val="1"/>
          <w:rtl/>
        </w:rPr>
        <w:t xml:space="preserve">ابن شيطا المقرئ
</w:t>
      </w:r>
    </w:p>
    <w:p>
      <w:pPr/>
      <w:r>
        <w:rPr/>
        <w:t xml:space="preserve">ابن شيطا المقرئ عبد الواحد بن الحسين بن أحمد بن عثمان بن شيطا بالشين المعجمة، والياء آخر الحروف وطاء مهملة بعدها ألف. أبو الفتح مقرئ العراق. مصنف كتب التذكار في القراءات. </w:t>
      </w:r>
    </w:p>
    <w:p/>
    <w:p>
      <w:pPr/>
      <w:r>
        <w:rPr/>
        <w:t xml:space="preserve">قال الخطيب: كتبنا عنه، وكان ثقة. وتوفي سنة خمسين وأربع ماية. </w:t>
      </w:r>
    </w:p>
    <w:p/>
    <w:p>
      <w:pPr/>
      <w:r>
        <w:rPr/>
        <w:t xml:space="preserve">كان ابن شيطا المذكور من أهل الرصافة، وبقي أربعين سنة يعبر في كل يوم إلى الجانب الغربي لأخذ العلم والقراءة على الأشياخ وكان لا ينزل السفينة إلا وفي كمه أمهار، وهو حبل يعلق فيه مجذاف السفينة فاتفق يوما أن هبت ريح شديدة وقطعت مهار السفينة التي هو فيها فتحير الملاح، وكاد أهل السفينة يغرقون فأخرج ابن شيطا ذلك المهار من كمه وأعطاه الملاح فتعجب منه من كان في السفينة؛ فقال: أنا منذ أربعين سنة أحمله في كمي لأجل هذا اليوم!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شيطي
</w:t>
      </w:r>
    </w:p>
    <w:p>
      <w:pPr/>
      <w:r>
        <w:rPr/>
        <w:t xml:space="preserve">ابن شيطي </w:t>
      </w:r>
    </w:p>
    <w:p/>
    <w:p>
      <w:pPr/>
      <w:r>
        <w:rPr/>
        <w:t xml:space="preserve">وأما أبو الفتح عبد الواحد بن الحسين بن أحمد بن عثمان بن شيطي، فإنه كان مقرئاً أديباً، عالماً بالعربية، قيماً بوجوه القراءات، حافظاً لمذاهب القراء.</w:t>
      </w:r>
    </w:p>
    <w:p/>
    <w:p>
      <w:pPr/>
      <w:r>
        <w:rPr/>
        <w:t xml:space="preserve">قال أبو بكر بن الخطيب: وسألته عن مولده فقال: ولدت يوم الاثنين لست خلون من رجب، سنة سبعين وثلاثمائة.</w:t>
      </w:r>
    </w:p>
    <w:p/>
    <w:p>
      <w:pPr/>
      <w:r>
        <w:rPr/>
        <w:t xml:space="preserve">وقال الخطيب: وتوفي ابن شيطي يوم الأربعاء لخمس بقين من صفر، سنة خمسين وأربعمائة، وذلك في خلافة القائم بأمر الله تعالى.</w:t>
      </w:r>
    </w:p>
    <w:p>
      <w:pPr>
        <w:jc w:val="start"/>
        <w:bidi/>
      </w:pPr>
      <w:r>
        <w:rPr>
          <w:sz w:val="24"/>
          <w:szCs w:val="24"/>
          <w:b w:val="1"/>
          <w:bCs w:val="1"/>
          <w:rtl/>
        </w:rPr>
        <w:t xml:space="preserve">
نزهة الألباء في طبقات الأدباء،(مكتبة المنار، الزرقاء - الأردن،1985،ط 3،ج 1،ص 259)/(دار الفكر العربي،1998،ط 1،ج 1،ص 307)/(مطبعة المعارف - بغداد،1959،ط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2026-06-15T15:27:21+03:00</dcterms:created>
  <dcterms:modified xsi:type="dcterms:W3CDTF">2026-06-15T15:27:21+03:00</dcterms:modified>
</cp:coreProperties>
</file>

<file path=docProps/custom.xml><?xml version="1.0" encoding="utf-8"?>
<Properties xmlns="http://schemas.openxmlformats.org/officeDocument/2006/custom-properties" xmlns:vt="http://schemas.openxmlformats.org/officeDocument/2006/docPropsVTypes"/>
</file>