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اليمن
</w:t>
      </w:r>
    </w:p>
    <w:p>
      <w:pPr>
        <w:jc w:val="start"/>
        <w:bidi/>
      </w:pPr>
      <w:r>
        <w:rPr>
          <w:rFonts w:ascii="arial" w:hAnsi="arial" w:eastAsia="arial" w:cs="arial"/>
          <w:sz w:val="28"/>
          <w:szCs w:val="28"/>
          <w:b w:val="1"/>
          <w:bCs w:val="1"/>
          <w:rtl/>
        </w:rPr>
        <w:t xml:space="preserve">صاحب اليمن
</w:t>
      </w:r>
    </w:p>
    <w:p>
      <w:pPr/>
      <w:r>
        <w:rPr/>
        <w:t xml:space="preserve">صاحب اليمن عبد النبي بن مهدي. كان أبوه يرى رأي القرامطة، وتلقب بالمهدي، واستولى على اليمن، وظلم وعسف. وشق أجواف الحبالى، وذبح الأطفال؛ وكان يظهر أنه داعية المصريين. وولي بعده ابنه عبد النبي ففعل أنحس من والده، وبنى على قبر أبيه قبة عظيمة لم يعمل في الإسلام مثلها، لأنه صفح حيطانها بالذهب ظاهرا وباطنا، وعمل لها الستور من الحرير. ويقال إنه أمر الناس بالحج إليها، وأن يحمل إليها كل واحد مالا، ومن لم يحمل قتله! ومنعهم من الحج؛ وكانوا يقصدونها من السحر، واجتمع فيها من الأموال ما لا يحصى. فاستأصل الله شأفته على يد شمس الدولة ابن أيوب، واستولى على خزائنه، وقتله سنة تسع وستين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2026-06-15T15:12:25+03:00</dcterms:created>
  <dcterms:modified xsi:type="dcterms:W3CDTF">2026-06-15T15:12:25+03:00</dcterms:modified>
</cp:coreProperties>
</file>

<file path=docProps/custom.xml><?xml version="1.0" encoding="utf-8"?>
<Properties xmlns="http://schemas.openxmlformats.org/officeDocument/2006/custom-properties" xmlns:vt="http://schemas.openxmlformats.org/officeDocument/2006/docPropsVTypes"/>
</file>