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الباجسرائي الحنبلي
</w:t>
      </w:r>
    </w:p>
    <w:p>
      <w:pPr>
        <w:jc w:val="start"/>
        <w:bidi/>
      </w:pPr>
      <w:r>
        <w:rPr>
          <w:rFonts w:ascii="arial" w:hAnsi="arial" w:eastAsia="arial" w:cs="arial"/>
          <w:sz w:val="28"/>
          <w:szCs w:val="28"/>
          <w:b w:val="1"/>
          <w:bCs w:val="1"/>
          <w:rtl/>
        </w:rPr>
        <w:t xml:space="preserve">الباجسرائي الحنبلي
</w:t>
      </w:r>
    </w:p>
    <w:p>
      <w:pPr/>
      <w:r>
        <w:rPr/>
        <w:t xml:space="preserve">الباجسرائي الحنبلي عبد المنعم بن محمد بن الحسين بن سليمان أبو محمد ابن أبي نصر الفقيه الحنبلي الباجسرائي. قدم بغداد صبيا، وقرأ الفقه على أبي الفتح ابن المني ولازمه حتى برع فيه. وقرأ الأصول والخلاف والجدل على محمد بن علي النوقاني. </w:t>
      </w:r>
    </w:p>
    <w:p/>
    <w:p>
      <w:pPr/>
      <w:r>
        <w:rPr/>
        <w:t xml:space="preserve">ودرس بمسجد ابن المني بالمأمونية؛ وكان يؤم الناس بمسجد الآجرة. وتولى الخزن بالديوان. وكانت له حلقة بجامع القصر يتكلم فيها في مسائل ويحضره الفقهاء. وكان دينا حسن الطريقة. وسمع من شهدة الكاتبة وغيرها. </w:t>
      </w:r>
    </w:p>
    <w:p/>
    <w:p>
      <w:pPr/>
      <w:r>
        <w:rPr/>
        <w:t xml:space="preserve">ولد سنة تسع وأربعين أو سنة خمسين وخمس ماية. وتوفي سنة اثنتي عشرة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2026-06-15T14:39:01+03:00</dcterms:created>
  <dcterms:modified xsi:type="dcterms:W3CDTF">2026-06-15T14:39:01+03:00</dcterms:modified>
</cp:coreProperties>
</file>

<file path=docProps/custom.xml><?xml version="1.0" encoding="utf-8"?>
<Properties xmlns="http://schemas.openxmlformats.org/officeDocument/2006/custom-properties" xmlns:vt="http://schemas.openxmlformats.org/officeDocument/2006/docPropsVTypes"/>
</file>