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القرطبي
</w:t>
      </w:r>
    </w:p>
    <w:p>
      <w:pPr/>
      <w:r>
        <w:rPr/>
        <w:t xml:space="preserve">أبو الحسن القرطبي عبد الملك بن عياش. أبو الحسن الأزدي القرطبي. أخذ عن أبيه عياش. ودخل في الدنيا بعد الزهد، وكتب للدولة، وحصل الثروة. </w:t>
      </w:r>
    </w:p>
    <w:p/>
    <w:p>
      <w:pPr/>
      <w:r>
        <w:rPr/>
        <w:t xml:space="preserve">وتوفي سنة ثمان وستين وخمس ماية. </w:t>
      </w:r>
    </w:p>
    <w:p/>
    <w:p>
      <w:pPr/>
      <w:r>
        <w:rPr/>
        <w:t xml:space="preserve">وهو القائل: </w:t>
      </w:r>
    </w:p>
    <w:p/>
    <w:p>
      <w:pPr>
        <w:jc w:val="center"/>
      </w:pPr>
      <w:r>
        <w:rPr>
          <w:color w:val="ff0000"/>
        </w:rPr>
        <w:t xml:space="preserve">عصيت هوى نفسي صغيرا فعندما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دهتني الليالي بالمشيب وبالكبر</w:t>
      </w:r>
    </w:p>
    <w:p/>
    <w:p>
      <w:pPr>
        <w:jc w:val="center"/>
      </w:pPr>
      <w:r>
        <w:rPr>
          <w:color w:val="ff0000"/>
        </w:rPr>
        <w:t xml:space="preserve">أطعت الهوى عكس القضية ليتني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خلقت كبيرا وانتقلت إلى الصغر</w:t>
      </w:r>
    </w:p>
    <w:p/>
    <w:p>
      <w:pPr/>
      <w:r>
        <w:rPr/>
        <w:t xml:space="preserve">فزاد ابنه أبو الحسن علي: </w:t>
      </w:r>
    </w:p>
    <w:p/>
    <w:p>
      <w:pPr>
        <w:jc w:val="center"/>
      </w:pPr>
      <w:r>
        <w:rPr>
          <w:color w:val="ff0000"/>
        </w:rPr>
        <w:t xml:space="preserve">هنيئا له أن لم يكن كابنه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أطاع الهوى في حالتيه وما اعتذر</w:t>
      </w:r>
    </w:p>
    <w:p/>
    <w:p>
      <w:pPr/>
      <w:r>
        <w:rPr/>
        <w:t xml:space="preserve">وكان عبد الملك بارع الخط.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2026-06-15T21:13:13+03:00</dcterms:created>
  <dcterms:modified xsi:type="dcterms:W3CDTF">2026-06-15T21:13:13+03:00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