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جمال الدين البارنباري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جمال الدين البارنباري
</w:t>
      </w:r>
    </w:p>
    <w:p>
      <w:pPr/>
      <w:r>
        <w:rPr/>
        <w:t xml:space="preserve">جمال الدين البارنباري عبد المحسن بن الحسن بن سليمان البارنباري. </w:t>
      </w:r>
    </w:p>
    <w:p/>
    <w:p>
      <w:pPr/>
      <w:r>
        <w:rPr/>
        <w:t xml:space="preserve">أخبرني العلامة أثير الدين أبو حيان من لفظه، قال: رأيته مرارا بدمياط والقاهرة، وبمصر. وينعت بالجمال. وله نظم منه، ما أنشدني لنفسه بدمياط؛ وهو: </w:t>
      </w:r>
    </w:p>
    <w:p/>
    <w:p>
      <w:pPr>
        <w:jc w:val="center"/>
      </w:pPr>
      <w:r>
        <w:rPr>
          <w:color w:val="ff0000"/>
        </w:rPr>
        <w:t xml:space="preserve">متى يا أهيل الحي أحظى بقربكم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ويبلغ قلبي من لقائكم القصدا</w:t>
      </w:r>
    </w:p>
    <w:p/>
    <w:p>
      <w:pPr>
        <w:jc w:val="center"/>
      </w:pPr>
      <w:r>
        <w:rPr>
          <w:color w:val="ff0000"/>
        </w:rPr>
        <w:t xml:space="preserve">وترجع الأيام تقضت على الحمى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وتنجز ليلى من تواصلنا الوعدا</w:t>
      </w:r>
    </w:p>
    <w:p/>
    <w:p>
      <w:pPr/>
      <w:r>
        <w:rPr/>
        <w:t xml:space="preserve">قال؛ وله أيضا: </w:t>
      </w:r>
    </w:p>
    <w:p/>
    <w:p>
      <w:pPr>
        <w:jc w:val="center"/>
      </w:pPr>
      <w:r>
        <w:rPr>
          <w:color w:val="ff0000"/>
        </w:rPr>
        <w:t xml:space="preserve">منهج فخر الدين في حكمه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وشرعه للقوم منهاج</w:t>
      </w:r>
    </w:p>
    <w:p/>
    <w:p>
      <w:pPr>
        <w:jc w:val="center"/>
      </w:pPr>
      <w:r>
        <w:rPr>
          <w:color w:val="ff0000"/>
        </w:rPr>
        <w:t xml:space="preserve">قد وسع الناس بأخلاقه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فماله في الخلق من هاج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2026-06-19T13:37:31+03:00</dcterms:created>
  <dcterms:modified xsi:type="dcterms:W3CDTF">2026-06-19T13:37:31+03:00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