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التواتي
</w:t>
      </w:r>
    </w:p>
    <w:p>
      <w:pPr>
        <w:jc w:val="start"/>
        <w:bidi/>
      </w:pPr>
      <w:r>
        <w:rPr>
          <w:rFonts w:ascii="arial" w:hAnsi="arial" w:eastAsia="arial" w:cs="arial"/>
          <w:sz w:val="28"/>
          <w:szCs w:val="28"/>
          <w:b w:val="1"/>
          <w:bCs w:val="1"/>
          <w:rtl/>
        </w:rPr>
        <w:t xml:space="preserve">التواتي
</w:t>
      </w:r>
    </w:p>
    <w:p>
      <w:pPr/>
      <w:r>
        <w:rPr/>
        <w:t xml:space="preserve">التواتي  محمد البشير بن محمد الطاهر، البجائي الاصل، التونسي: شيخ القراء بالديار التونسية اشتهر بالتواتي ولم تكن له علاقة بتوات وانما نسب إلى رجل صالح من اهلها اتصل به واخذ عنه. له ’’ ثبت-خ’’ اشتمل على اسانيده في القرا آت، و’’ مجموع الافادة في علم الشهادة –ط’’ في التوثيق. </w:t>
      </w:r>
    </w:p>
    <w:p>
      <w:pPr>
        <w:jc w:val="start"/>
        <w:bidi/>
      </w:pPr>
      <w:r>
        <w:rPr>
          <w:sz w:val="24"/>
          <w:szCs w:val="24"/>
          <w:b w:val="1"/>
          <w:bCs w:val="1"/>
          <w:rtl/>
        </w:rPr>
        <w:t xml:space="preserve">
الأعلام،(دار العلم للملايين - بيروت،2002،ط 15،ج 6،ص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التواتي
</w:t>
      </w:r>
    </w:p>
    <w:p>
      <w:pPr/>
      <w:r>
        <w:rPr/>
        <w:t xml:space="preserve">التواتي  محمد البشير بن محمد الطاهر بن محمد السعيد الشريف، البجائي الأصل، التونسي، والشهير بالتواتي، لم تكن له علاقة بتوات، وإنما نسب إلى رجل صالح من أهلها اتصل به وأخذ عنه.</w:t>
      </w:r>
    </w:p>
    <w:p/>
    <w:p>
      <w:pPr/>
      <w:r>
        <w:rPr/>
        <w:t xml:space="preserve">كان شيخ القراءات في عصره، وأخذها عن الشيخ محمد إدريس، عن الشيخ المشاط الأندلسي التونسي المتوفى سنة 1245/ 1830 عن الشيخ حمودة بن محمد إدريس الحسني التونسي، عن الشيخ محمد الحرقافي (بكسر الحاء المهملة وسكون الراء والقاف المفتوحة المعقدة) بسنده إلى الشيخ علي النوري. وأخذ عن الشيخ صالح النيفر ومدحه بقصيدة عند ختمه للشرح المختصر للسعد التفتازاني على التلخيص في البلاغة طالعها [طويل]:</w:t>
      </w:r>
    </w:p>
    <w:p/>
    <w:p>
      <w:pPr>
        <w:jc w:val="center"/>
      </w:pPr>
      <w:r>
        <w:rPr>
          <w:color w:val="ff0000"/>
        </w:rPr>
        <w:t xml:space="preserve">أبدر تمام حل في طالع السعد</w:t>
      </w:r>
      <w:r>
        <w:rPr>
          <w:color w:val="ff0000"/>
        </w:rPr>
        <w:t xml:space="preserve">      </w:t>
      </w:r>
      <w:r>
        <w:rPr>
          <w:color w:val="ff0000"/>
        </w:rPr>
        <w:t xml:space="preserve">أم البرق لاح من نواحي بني سعد</w:t>
      </w:r>
    </w:p>
    <w:p/>
    <w:p>
      <w:pPr/>
      <w:r>
        <w:rPr/>
        <w:t xml:space="preserve">وبعد تخرجه من جامع الزيتونة تولى تدريس القراءات به والتصحيح بالمطبعة الرسمية، وتخرج عليه غالب علماء القراءات بتونس وكان مقرئا مجودا له مشاركة حسنة في العلوم.</w:t>
      </w:r>
    </w:p>
    <w:p/>
    <w:p>
      <w:pPr/>
      <w:r>
        <w:rPr/>
        <w:t xml:space="preserve">مؤلفاته:</w:t>
      </w:r>
    </w:p>
    <w:p/>
    <w:p>
      <w:pPr/>
      <w:r>
        <w:rPr/>
        <w:t xml:space="preserve">1 - ثبت اشتمل على أسانيده في القراءات.</w:t>
      </w:r>
    </w:p>
    <w:p/>
    <w:p>
      <w:pPr/>
      <w:r>
        <w:rPr/>
        <w:t xml:space="preserve">2 - مجموع الإفادة في علم الشهادة، وهو تأليف في التوثيق، فرغ منه في 15 شعبان 6/ 1292 أوت 1875 ط طبعة ثانية بتصحيح المؤلف بالمطبعة الرسمية بتونس سنة 1876/ 1293 في 147 ص+9 فهرس وذكر محمد بن الخوجة في «المجلة الزيتونة» م 4 فيفري 1941 رقم 47 في التعليق انه لا يعرف تاريخ الطبعة الأولى، وحسب رأيه ترجع إلى عشر التسعين من القرن الماضي.</w:t>
      </w:r>
    </w:p>
    <w:p/>
    <w:p>
      <w:pPr/>
      <w:r>
        <w:rPr/>
        <w:t xml:space="preserve">والكتاب ترجمه إلى الفرنسية وعلق عليه ج ابربا J.Abribat وطبعه في تونس سنة Borrel 1896 في 280 ص وسماه Recueil de notions de droit musulman et d'actes notaries</w:t>
      </w:r>
    </w:p>
    <w:p/>
    <w:p>
      <w:pPr/>
      <w:r>
        <w:rPr/>
        <w:t xml:space="preserve">وقد جمع المؤلف في هذا الكتاب أساليب من كتب الرسوم (الوثائق) والحجج العادلة مع بيان أحكام كل باب في طالعته.</w:t>
      </w:r>
    </w:p>
    <w:p/>
    <w:p>
      <w:pPr/>
      <w:r>
        <w:rPr/>
        <w:t xml:space="preserve">المصادر والمراجع:</w:t>
      </w:r>
    </w:p>
    <w:p/>
    <w:p>
      <w:pPr/>
      <w:r>
        <w:rPr/>
        <w:t xml:space="preserve">- الإعلام 6/ 276 - 277.</w:t>
      </w:r>
    </w:p>
    <w:p/>
    <w:p>
      <w:pPr/>
      <w:r>
        <w:rPr/>
        <w:t xml:space="preserve">- إيضاح المكنون 2/ 437.</w:t>
      </w:r>
    </w:p>
    <w:p/>
    <w:p>
      <w:pPr/>
      <w:r>
        <w:rPr/>
        <w:t xml:space="preserve">- برنامج المكتبة الصادقية 4/ 276.</w:t>
      </w:r>
    </w:p>
    <w:p/>
    <w:p>
      <w:pPr/>
      <w:r>
        <w:rPr/>
        <w:t xml:space="preserve">- شجرة النور الزكية 415.</w:t>
      </w:r>
    </w:p>
    <w:p/>
    <w:p>
      <w:pPr/>
      <w:r>
        <w:rPr/>
        <w:t xml:space="preserve">- فهرس الفهارس 1/ 165.</w:t>
      </w:r>
    </w:p>
    <w:p/>
    <w:p>
      <w:pPr/>
      <w:r>
        <w:rPr/>
        <w:t xml:space="preserve">- فهرس المؤلفين والعناوين للكتب الموجودة بالمكتبة العامة للحماية لأحمد محمد المكناسي 233.</w:t>
      </w:r>
    </w:p>
    <w:p/>
    <w:p>
      <w:pPr/>
      <w:r>
        <w:rPr/>
        <w:t xml:space="preserve">- معجم المطبوعات 646 ويستفاد منه أن مجموع الإفادة ط في تونس 1282، 1314 في 162 ص.</w:t>
      </w:r>
    </w:p>
    <w:p/>
    <w:p>
      <w:pPr/>
      <w:r>
        <w:rPr/>
        <w:t xml:space="preserve">- معجم المؤلفين 9/ 102 - 103 هدية العارفين 2/ 393.</w:t>
      </w:r>
    </w:p>
    <w:p/>
    <w:p>
      <w:pPr/>
      <w:r>
        <w:rPr/>
        <w:t xml:space="preserve">fondation 6721 h/0681 a 0031 h/2881 in revue Ibla، 2691، no 89، p.161. J.Quemeneur، Publications de l'Imprimerie Officielle tunisienne)Matboa Rasmiya(de sa -</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192)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2026-07-27T11:46:56+03:00</dcterms:created>
  <dcterms:modified xsi:type="dcterms:W3CDTF">2026-07-27T11:46:56+03:00</dcterms:modified>
</cp:coreProperties>
</file>

<file path=docProps/custom.xml><?xml version="1.0" encoding="utf-8"?>
<Properties xmlns="http://schemas.openxmlformats.org/officeDocument/2006/custom-properties" xmlns:vt="http://schemas.openxmlformats.org/officeDocument/2006/docPropsVTypes"/>
</file>