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الكافي الخطيب جمال الدين
</w:t>
      </w:r>
    </w:p>
    <w:p>
      <w:pPr>
        <w:jc w:val="start"/>
        <w:bidi/>
      </w:pPr>
      <w:r>
        <w:rPr>
          <w:rFonts w:ascii="arial" w:hAnsi="arial" w:eastAsia="arial" w:cs="arial"/>
          <w:sz w:val="28"/>
          <w:szCs w:val="28"/>
          <w:b w:val="1"/>
          <w:bCs w:val="1"/>
          <w:rtl/>
        </w:rPr>
        <w:t xml:space="preserve">عبد الكافي الخطيب جمال الدين
</w:t>
      </w:r>
    </w:p>
    <w:p>
      <w:pPr/>
      <w:r>
        <w:rPr/>
        <w:t xml:space="preserve">عبد الكافي الخطيب جمال الدين عبد الكافي بن عبد الملك بن عبد الكافي بن علي القاضي، الخطيب، المفتي، جمال الدين، أبو محمد، الربعي، الدمشقي، الشافعي. </w:t>
      </w:r>
    </w:p>
    <w:p/>
    <w:p>
      <w:pPr/>
      <w:r>
        <w:rPr/>
        <w:t xml:space="preserve">ولد سنة اثنتي عشرة وست ماية، وتوفي سنة تسع وثمانين وست ماية. </w:t>
      </w:r>
    </w:p>
    <w:p/>
    <w:p>
      <w:pPr/>
      <w:r>
        <w:rPr/>
        <w:t xml:space="preserve">وسمع ابن صباح وابن الزبيدي، وأبا الفاضل الهمداني، وخرج له البرزالي مشيخة سمعها منه هو وابن تيمية، والزين عمر بن حبيب وأبو الحسين الختني، وابن مسلم الحنبلي. ناب في القضاء مدة، ثم تركه واقتصر على الخطابة بالجامع. وكان للناس فيه عقيدة حسنة. وأجاز للشيخ شمس الدين مروياته.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2026-06-21T20:54:26+03:00</dcterms:created>
  <dcterms:modified xsi:type="dcterms:W3CDTF">2026-06-21T20:54:26+03:00</dcterms:modified>
</cp:coreProperties>
</file>

<file path=docProps/custom.xml><?xml version="1.0" encoding="utf-8"?>
<Properties xmlns="http://schemas.openxmlformats.org/officeDocument/2006/custom-properties" xmlns:vt="http://schemas.openxmlformats.org/officeDocument/2006/docPropsVTypes"/>
</file>