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مغني
</w:t>
      </w:r>
    </w:p>
    <w:p>
      <w:pPr>
        <w:jc w:val="start"/>
        <w:bidi/>
      </w:pPr>
      <w:r>
        <w:rPr>
          <w:rFonts w:ascii="arial" w:hAnsi="arial" w:eastAsia="arial" w:cs="arial"/>
          <w:sz w:val="28"/>
          <w:szCs w:val="28"/>
          <w:b w:val="1"/>
          <w:bCs w:val="1"/>
          <w:rtl/>
        </w:rPr>
        <w:t xml:space="preserve">نجم الدين ابن مغني
</w:t>
      </w:r>
    </w:p>
    <w:p>
      <w:pPr/>
      <w:r>
        <w:rPr/>
        <w:t xml:space="preserve">نجم الدين ابن مغني عبد القوي بن محمد بن جعفر الأسنائي. يعرف بابن مغني وبابن أبي جعفر. فقيه شافعي. قرأ على الشيخ النجيب بن مفلح، والشيخ بهاء الدين هبة الله القفطي. وناب في الحكم، ودرس بالمدرسة العزية بقوص. وكان خفيف الروح، حسن الخلق، مرتاضا، محبا للسماع. قال الفاضل كمال الدين جعفر الأدفوي: بلغني أنه أوصى أن تخرج جنازته بالدفوف والشبابة، ويمنع النائحات والباكيات عليه. وكان التزم أنه لا يبحث مع قاض. </w:t>
      </w:r>
    </w:p>
    <w:p/>
    <w:p>
      <w:pPr/>
      <w:r>
        <w:rPr/>
        <w:t xml:space="preserve">وتوفي بإسنا سنة ثمان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2026-06-21T20:48:52+03:00</dcterms:created>
  <dcterms:modified xsi:type="dcterms:W3CDTF">2026-06-21T20:48:52+03:00</dcterms:modified>
</cp:coreProperties>
</file>

<file path=docProps/custom.xml><?xml version="1.0" encoding="utf-8"?>
<Properties xmlns="http://schemas.openxmlformats.org/officeDocument/2006/custom-properties" xmlns:vt="http://schemas.openxmlformats.org/officeDocument/2006/docPropsVTypes"/>
</file>