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محيي الدين حينئذ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محيي الدين حينئذ
</w:t>
      </w:r>
    </w:p>
    <w:p>
      <w:pPr/>
      <w:r>
        <w:rPr/>
        <w:t xml:space="preserve">محيي الدين حينئذ عبد القادر بن أحمد. الفقيه المناظر محيي الدين حينئذ. كان يكثر في بحوثه من قول حينئذ. </w:t>
      </w:r>
    </w:p>
    <w:p/>
    <w:p>
      <w:pPr/>
      <w:r>
        <w:rPr/>
        <w:t xml:space="preserve">سقط من سلم فمات سنة سبع ماية. وكان بغداديا فقيها كهلا تام الشكل، لديه معرفة وفضائل.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2026-06-21T14:43:32+03:00</dcterms:created>
  <dcterms:modified xsi:type="dcterms:W3CDTF">2026-06-21T14:43:32+03:00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