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الفارسي
</w:t>
      </w:r>
    </w:p>
    <w:p>
      <w:pPr>
        <w:jc w:val="start"/>
        <w:bidi/>
      </w:pPr>
      <w:r>
        <w:rPr>
          <w:rFonts w:ascii="arial" w:hAnsi="arial" w:eastAsia="arial" w:cs="arial"/>
          <w:sz w:val="28"/>
          <w:szCs w:val="28"/>
          <w:b w:val="1"/>
          <w:bCs w:val="1"/>
          <w:rtl/>
        </w:rPr>
        <w:t xml:space="preserve">الحافظ الفارسي
</w:t>
      </w:r>
    </w:p>
    <w:p>
      <w:pPr/>
      <w:r>
        <w:rPr/>
        <w:t xml:space="preserve">الحافظ الفارسي عبد الغافر بن إسماعيل ابن أبي الحسين عبد الغافر. هو الحافظ أبو الحسين الفارسي. مصنف السياق لتاريخ نيسابور، وله معجم الغرائب في غريب الحديث والمفهم لشرح مسلم. كان إماما، محدثا، حافظا، أديبا، كاملا، فصيحا مفقها. روى عنه ابن عساكر بالإجازة. </w:t>
      </w:r>
    </w:p>
    <w:p/>
    <w:p>
      <w:pPr/>
      <w:r>
        <w:rPr/>
        <w:t xml:space="preserve">وتوفي سنة تسع وعشرين وخمس ماية. </w:t>
      </w:r>
    </w:p>
    <w:p/>
    <w:p>
      <w:pPr/>
      <w:r>
        <w:rPr/>
        <w:t xml:space="preserve">قال ياقوت: نقلت من خطه الذي يفوق أصداغ الملاح قصائد تفوق سلاف الراح؛ قوله: </w:t>
      </w:r>
    </w:p>
    <w:p/>
    <w:p>
      <w:pPr>
        <w:jc w:val="center"/>
      </w:pPr>
      <w:r>
        <w:rPr>
          <w:color w:val="ff0000"/>
        </w:rPr>
        <w:t xml:space="preserve">بالله لا تستري عنا محياك</w:t>
      </w:r>
      <w:r>
        <w:rPr>
          <w:color w:val="ff0000"/>
        </w:rPr>
        <w:t xml:space="preserve">      </w:t>
      </w:r>
      <w:r>
        <w:rPr>
          <w:color w:val="ff0000"/>
        </w:rPr>
        <w:t xml:space="preserve">ولا تضني على صب بلقياك</w:t>
      </w:r>
    </w:p>
    <w:p/>
    <w:p>
      <w:pPr>
        <w:jc w:val="center"/>
      </w:pPr>
      <w:r>
        <w:rPr>
          <w:color w:val="ff0000"/>
        </w:rPr>
        <w:t xml:space="preserve">حيي فؤادا لقد عذبت مهجته</w:t>
      </w:r>
      <w:r>
        <w:rPr>
          <w:color w:val="ff0000"/>
        </w:rPr>
        <w:t xml:space="preserve">      </w:t>
      </w:r>
      <w:r>
        <w:rPr>
          <w:color w:val="ff0000"/>
        </w:rPr>
        <w:t xml:space="preserve">حياك ربك بالنعمى وبياك</w:t>
      </w:r>
    </w:p>
    <w:p/>
    <w:p>
      <w:pPr>
        <w:jc w:val="center"/>
      </w:pPr>
      <w:r>
        <w:rPr>
          <w:color w:val="ff0000"/>
        </w:rPr>
        <w:t xml:space="preserve">يا ليت شعري وقد أصبحت ساهية</w:t>
      </w:r>
      <w:r>
        <w:rPr>
          <w:color w:val="ff0000"/>
        </w:rPr>
        <w:t xml:space="preserve">      </w:t>
      </w:r>
      <w:r>
        <w:rPr>
          <w:color w:val="ff0000"/>
        </w:rPr>
        <w:t xml:space="preserve">أريقك العذب أحلى أم حمياك</w:t>
      </w:r>
    </w:p>
    <w:p/>
    <w:p>
      <w:pPr>
        <w:jc w:val="center"/>
      </w:pPr>
      <w:r>
        <w:rPr>
          <w:color w:val="ff0000"/>
        </w:rPr>
        <w:t xml:space="preserve">بذلت ديني مع الدنيا وآخرتي</w:t>
      </w:r>
      <w:r>
        <w:rPr>
          <w:color w:val="ff0000"/>
        </w:rPr>
        <w:t xml:space="preserve">      </w:t>
      </w:r>
      <w:r>
        <w:rPr>
          <w:color w:val="ff0000"/>
        </w:rPr>
        <w:t xml:space="preserve">والعمر فيك فجودي لي بدنياك</w:t>
      </w:r>
    </w:p>
    <w:p/>
    <w:p>
      <w:pPr/>
      <w:r>
        <w:rPr/>
        <w:t xml:space="preserve">وقوله: </w:t>
      </w:r>
    </w:p>
    <w:p/>
    <w:p>
      <w:pPr>
        <w:jc w:val="center"/>
      </w:pPr>
      <w:r>
        <w:rPr>
          <w:color w:val="ff0000"/>
        </w:rPr>
        <w:t xml:space="preserve">وبي ظمأ أعداد سبعة أبحر</w:t>
      </w:r>
      <w:r>
        <w:rPr>
          <w:color w:val="ff0000"/>
        </w:rPr>
        <w:t xml:space="preserve">      </w:t>
      </w:r>
      <w:r>
        <w:rPr>
          <w:color w:val="ff0000"/>
        </w:rPr>
        <w:t xml:space="preserve">تقاصر أن تشفي غليل أواره</w:t>
      </w:r>
    </w:p>
    <w:p/>
    <w:p>
      <w:pPr>
        <w:jc w:val="center"/>
      </w:pPr>
      <w:r>
        <w:rPr>
          <w:color w:val="ff0000"/>
        </w:rPr>
        <w:t xml:space="preserve">ترقرق من عيني دمع أظنه</w:t>
      </w:r>
      <w:r>
        <w:rPr>
          <w:color w:val="ff0000"/>
        </w:rPr>
        <w:t xml:space="preserve">      </w:t>
      </w:r>
      <w:r>
        <w:rPr>
          <w:color w:val="ff0000"/>
        </w:rPr>
        <w:t xml:space="preserve">يطبق وجه الأرض إن لم أواره</w:t>
      </w:r>
    </w:p>
    <w:p/>
    <w:p>
      <w:pPr/>
      <w:r>
        <w:rPr/>
        <w:t xml:space="preserve">وقوله: </w:t>
      </w:r>
    </w:p>
    <w:p/>
    <w:p>
      <w:pPr>
        <w:jc w:val="center"/>
      </w:pPr>
      <w:r>
        <w:rPr>
          <w:color w:val="ff0000"/>
        </w:rPr>
        <w:t xml:space="preserve">رحت في سكرة اللذات آونة</w:t>
      </w:r>
      <w:r>
        <w:rPr>
          <w:color w:val="ff0000"/>
        </w:rPr>
        <w:t xml:space="preserve">      </w:t>
      </w:r>
      <w:r>
        <w:rPr>
          <w:color w:val="ff0000"/>
        </w:rPr>
        <w:t xml:space="preserve">ألقى المسرات ما لي دونها شغل</w:t>
      </w:r>
    </w:p>
    <w:p/>
    <w:p>
      <w:pPr>
        <w:jc w:val="center"/>
      </w:pPr>
      <w:r>
        <w:rPr>
          <w:color w:val="ff0000"/>
        </w:rPr>
        <w:t xml:space="preserve">عيشي هنيء ومن أهوى يساعدني</w:t>
      </w:r>
      <w:r>
        <w:rPr>
          <w:color w:val="ff0000"/>
        </w:rPr>
        <w:t xml:space="preserve">      </w:t>
      </w:r>
      <w:r>
        <w:rPr>
          <w:color w:val="ff0000"/>
        </w:rPr>
        <w:t xml:space="preserve">فيما أريد ورق العمر مقتبل</w:t>
      </w:r>
    </w:p>
    <w:p/>
    <w:p>
      <w:pPr>
        <w:jc w:val="center"/>
      </w:pPr>
      <w:r>
        <w:rPr>
          <w:color w:val="ff0000"/>
        </w:rPr>
        <w:t xml:space="preserve">أمسي وأصبح في زهو وفي مرح</w:t>
      </w:r>
      <w:r>
        <w:rPr>
          <w:color w:val="ff0000"/>
        </w:rPr>
        <w:t xml:space="preserve">      </w:t>
      </w:r>
      <w:r>
        <w:rPr>
          <w:color w:val="ff0000"/>
        </w:rPr>
        <w:t xml:space="preserve">صبح السرور بليل الأنس متصل</w:t>
      </w:r>
    </w:p>
    <w:p/>
    <w:p>
      <w:pPr>
        <w:jc w:val="center"/>
      </w:pPr>
      <w:r>
        <w:rPr>
          <w:color w:val="ff0000"/>
        </w:rPr>
        <w:t xml:space="preserve">حتى انتصبت لأرباب الهوى علما</w:t>
      </w:r>
      <w:r>
        <w:rPr>
          <w:color w:val="ff0000"/>
        </w:rPr>
        <w:t xml:space="preserve">      </w:t>
      </w:r>
      <w:r>
        <w:rPr>
          <w:color w:val="ff0000"/>
        </w:rPr>
        <w:t xml:space="preserve">بحسن حالي فيهم يضرب المثل</w:t>
      </w:r>
    </w:p>
    <w:p/>
    <w:p>
      <w:pPr>
        <w:jc w:val="center"/>
      </w:pPr>
      <w:r>
        <w:rPr>
          <w:color w:val="ff0000"/>
        </w:rPr>
        <w:t xml:space="preserve">فبينما كنت في أمر أدل به</w:t>
      </w:r>
      <w:r>
        <w:rPr>
          <w:color w:val="ff0000"/>
        </w:rPr>
        <w:t xml:space="preserve">      </w:t>
      </w:r>
      <w:r>
        <w:rPr>
          <w:color w:val="ff0000"/>
        </w:rPr>
        <w:t xml:space="preserve">أصيب وصلي بهجر ليس يحتمل</w:t>
      </w:r>
    </w:p>
    <w:p/>
    <w:p>
      <w:pPr>
        <w:jc w:val="center"/>
      </w:pPr>
      <w:r>
        <w:rPr>
          <w:color w:val="ff0000"/>
        </w:rPr>
        <w:t xml:space="preserve">واستيقظ الدهر حربا بعد رقدته</w:t>
      </w:r>
      <w:r>
        <w:rPr>
          <w:color w:val="ff0000"/>
        </w:rPr>
        <w:t xml:space="preserve">      </w:t>
      </w:r>
      <w:r>
        <w:rPr>
          <w:color w:val="ff0000"/>
        </w:rPr>
        <w:t xml:space="preserve">سلما علي وأيام الفتى دول</w:t>
      </w:r>
    </w:p>
    <w:p/>
    <w:p>
      <w:pPr>
        <w:jc w:val="center"/>
      </w:pPr>
      <w:r>
        <w:rPr>
          <w:color w:val="ff0000"/>
        </w:rPr>
        <w:t xml:space="preserve">فصرت حيران ما لي بعد فرقتهم</w:t>
      </w:r>
      <w:r>
        <w:rPr>
          <w:color w:val="ff0000"/>
        </w:rPr>
        <w:t xml:space="preserve">      </w:t>
      </w:r>
      <w:r>
        <w:rPr>
          <w:color w:val="ff0000"/>
        </w:rPr>
        <w:t xml:space="preserve">سوى دموع على الخدين تنهمل</w:t>
      </w:r>
    </w:p>
    <w:p/>
    <w:p>
      <w:pPr/>
      <w:r>
        <w:rPr/>
        <w:t xml:space="preserve">قلت: شعر محلول.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الغافر بن إسماعيل بن عبد الغافر عين الدين
</w:t>
      </w:r>
    </w:p>
    <w:p>
      <w:pPr/>
      <w:r>
        <w:rPr/>
        <w:t xml:space="preserve">عبد الغافر بن إسماعيل بن عبد الغافر عين الدين أبو الحسين الفارسي المحدث المؤرخ:</w:t>
      </w:r>
    </w:p>
    <w:p/>
    <w:p>
      <w:pPr/>
      <w:r>
        <w:rPr/>
        <w:t xml:space="preserve">كان أديبا فاضلا لم ير بخراسان والعراق أجمع منه للفضائل وهو سبط أبي القاسم القشيري، مولده سنة إحدى وخمسين وأربعمائة وتوفي سنة تسع وعشرين وخمسمائة.</w:t>
      </w:r>
    </w:p>
    <w:p/>
    <w:p>
      <w:pPr/>
      <w:r>
        <w:rPr/>
        <w:t xml:space="preserve">وقد خرج له الحفاظ الفوائد كالإمام أبي الفضل محمد بن أحمد الجارودي؛ وهو الذي صنف الذيل على تاريخ الحاكم منذ وفاة الحاكم سنة خمس وأربعمائة، وقرأ الكثير على المشايخ، وكتب عن الإمام أبي الحسن علي بن فضال المجاشعي، واختلف إلى إمام الحرمين الجويني، وخرج إلى النواحي ونسا، ودخل خوارزم وغزنة ومنها إلى لوهور، وقرأ عليه الناس تصانيف القشيري، وصنف كتبا منها: المفهم لصحيح مسلم وغير ذلك.</w:t>
      </w:r>
    </w:p>
    <w:p/>
    <w:p>
      <w:pPr/>
      <w:r>
        <w:rPr/>
        <w:t xml:space="preserve">وله شعره حسن منه قوله:</w:t>
      </w:r>
    </w:p>
    <w:p/>
    <w:p>
      <w:pPr>
        <w:jc w:val="center"/>
      </w:pPr>
      <w:r>
        <w:rPr>
          <w:color w:val="ff0000"/>
        </w:rPr>
        <w:t xml:space="preserve">من يبغ مالا في الورى فأنا إلى</w:t>
      </w:r>
      <w:r>
        <w:rPr>
          <w:color w:val="ff0000"/>
        </w:rPr>
        <w:t xml:space="preserve">      </w:t>
      </w:r>
      <w:r>
        <w:rPr>
          <w:color w:val="ff0000"/>
        </w:rPr>
        <w:t xml:space="preserve">طلب المعالي رائح أو غادي</w:t>
      </w:r>
    </w:p>
    <w:p/>
    <w:p>
      <w:pPr>
        <w:jc w:val="center"/>
      </w:pPr>
      <w:r>
        <w:rPr>
          <w:color w:val="ff0000"/>
        </w:rPr>
        <w:t xml:space="preserve">نفسي وإن فقدت أمانيها فقد</w:t>
      </w:r>
      <w:r>
        <w:rPr>
          <w:color w:val="ff0000"/>
        </w:rPr>
        <w:t xml:space="preserve">      </w:t>
      </w:r>
      <w:r>
        <w:rPr>
          <w:color w:val="ff0000"/>
        </w:rPr>
        <w:t xml:space="preserve">أبت أن تلين لخدمة الأوغاد</w:t>
      </w:r>
    </w:p>
    <w:p/>
    <w:p>
      <w:pPr>
        <w:jc w:val="start"/>
        <w:bidi/>
      </w:pPr>
      <w:r>
        <w:rPr>
          <w:sz w:val="24"/>
          <w:szCs w:val="24"/>
          <w:b w:val="1"/>
          <w:bCs w:val="1"/>
          <w:rtl/>
        </w:rPr>
        <w:t xml:space="preserve">
معجم الأدباء / إرشاد الأريب إلى معرفة الأديب،(دار الغرب الإسلامي - بيروت،1993،ط 0،ج 4،ص 1569)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الغافر
</w:t>
      </w:r>
    </w:p>
    <w:p>
      <w:pPr/>
      <w:r>
        <w:rPr/>
        <w:t xml:space="preserve">عبد الغافر ابن إسماعيل بن عبد الغافر بن محمد بن عبد الغافر، الإمام العالم، البارع، الحافظ، أبو الحسن بن الحافظ أبي عبد الله بن الشيخ الكبير أبي الحسين الفارسي، ثم النيسابوري، مصنف: كتاب ’’مجمع الغرائب’’ في غريب الحديث، وكتاب ’’السياق لتاريخ نيسابور’’، وكتاب ’’المفهم لشرح مسلم’’.</w:t>
      </w:r>
    </w:p>
    <w:p/>
    <w:p>
      <w:pPr/>
      <w:r>
        <w:rPr/>
        <w:t xml:space="preserve">ولد سنة إحدى وخمسين وأربع مائة.</w:t>
      </w:r>
    </w:p>
    <w:p/>
    <w:p>
      <w:pPr/>
      <w:r>
        <w:rPr/>
        <w:t xml:space="preserve">وأجاز له من بغداد: أبو محمد الجوهري، وغيره، ومن نيسابور: أبو سعد الكنجروذي، وأبو بكر محمد بن الحسن بن علي الطبري المقرىء، وسمع من: جده لأمه أبي القاسم القشيري، وأحمد بن منصور المغربي، وأحمد بن عبد الرحيم الإسماعيلي، وأحمد بن الحسن الأزهري، والفضل بن المحب، ومحمد بن عبيد الله الصرام، وأبي نصر عبد الرحمن بن علي التاجر، وخلق كثير.</w:t>
      </w:r>
    </w:p>
    <w:p/>
    <w:p>
      <w:pPr/>
      <w:r>
        <w:rPr/>
        <w:t xml:space="preserve">وتفقه بإمام الحرمين، وبرع في المذهب، وارتحل إلى غزنة والهند وخوارزم، ولقي الكبار، وولي خطابة نيسابور.</w:t>
      </w:r>
    </w:p>
    <w:p/>
    <w:p>
      <w:pPr/>
      <w:r>
        <w:rPr/>
        <w:t xml:space="preserve">وكان فقيها محققا، وفصيحا مفوها، ومحدثا مجودا، وأديبا كاملا.</w:t>
      </w:r>
    </w:p>
    <w:p/>
    <w:p>
      <w:pPr/>
      <w:r>
        <w:rPr/>
        <w:t xml:space="preserve">مات سنة تسع وعشرين وخمس مائة.</w:t>
      </w:r>
    </w:p>
    <w:p/>
    <w:p>
      <w:pPr/>
      <w:r>
        <w:rPr/>
        <w:t xml:space="preserve">وآخر من حدث عنه أبو سعد عبد الله بن عمر الصفار.</w:t>
      </w:r>
    </w:p>
    <w:p/>
    <w:p>
      <w:pPr/>
      <w:r>
        <w:rPr/>
        <w:t xml:space="preserve">وفيها مات: شمس الملوك إسماعيل بن تاج الملوك مقتولا، وملك العرب نور الدولة دبيس بن صدقة الأسدي، والمسترشد بالله بن المستظهر، وقاضي الجماعة أبو عبد الله محمد بن أحمد بن خلف بن الحاج التجيبي، والعلامة محمد بن أبي الخيار العبدري القرطبي.</w:t>
      </w:r>
    </w:p>
    <w:p/>
    <w:p>
      <w:pPr/>
      <w:r>
        <w:rPr/>
        <w:t xml:space="preserve">ابن قبيس، القارئ: </w:t>
      </w:r>
    </w:p>
    <w:p>
      <w:pPr>
        <w:jc w:val="start"/>
        <w:bidi/>
      </w:pPr>
      <w:r>
        <w:rPr>
          <w:sz w:val="24"/>
          <w:szCs w:val="24"/>
          <w:b w:val="1"/>
          <w:bCs w:val="1"/>
          <w:rtl/>
        </w:rPr>
        <w:t xml:space="preserve">
سير أعلام النبلاء،(دار الحديث- القاهرة،2006،ط 0،ج 14،ص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الغافر بن إسماعيل بن عبد الغافر بن محمد بن عبد الغافر الحافظ أبو الحسن الفارسي ثم النيسابوري حفيد راوي صحيح مسلم أبي الحسين عبد الغافر بن محمد
</w:t>
      </w:r>
    </w:p>
    <w:p>
      <w:pPr/>
      <w:r>
        <w:rPr/>
        <w:t xml:space="preserve">عبد الغافر بن إسماعيل بن عبد الغافر بن محمد بن عبد الغافر الحافظ أبو الحسن الفارسي ثم النيسابوري حفيد راوي صحيح مسلم أبي الحسين عبد الغافر بن محمد ولد سنة إحدى وخمسين وأربعمائة</w:t>
      </w:r>
    </w:p>
    <w:p/>
    <w:p>
      <w:pPr/>
      <w:r>
        <w:rPr/>
        <w:t xml:space="preserve">وسمع من جده لأمه أبي القاسم القشيري وأحمد بن منصور المغربي وأحمد بن الحسن الأزهري وأبي الفضل محمد بن عبيد الله الصرام وعبد الحميد بن عبد الرحمن البحيري وأبي بكر بن خلف وجدته فاطمة بنت الدقاق وخلائق</w:t>
      </w:r>
    </w:p>
    <w:p/>
    <w:p>
      <w:pPr/>
      <w:r>
        <w:rPr/>
        <w:t xml:space="preserve">وأجازه أبو سعد محمد بن عبد الرحمن الكنجروذي وأبو محمد الجوهري مسند بغداد وغيرهما</w:t>
      </w:r>
    </w:p>
    <w:p/>
    <w:p>
      <w:pPr/>
      <w:r>
        <w:rPr/>
        <w:t xml:space="preserve">روى عنه الحافظ أبو القاسم بن عساكر وأبو سعد بن السمعاني وأبو العلاء الهمذاني</w:t>
      </w:r>
    </w:p>
    <w:p/>
    <w:p>
      <w:pPr/>
      <w:r>
        <w:rPr/>
        <w:t xml:space="preserve">وذكر شيخنا الذهبي أن ابن عساكر لم يرو عنه إلا بالإجازة لكن روى عنه بالسماع أبو سعد عبد الله بن عمر الصفار</w:t>
      </w:r>
    </w:p>
    <w:p/>
    <w:p>
      <w:pPr/>
      <w:r>
        <w:rPr/>
        <w:t xml:space="preserve">وتفقه على إمام الحرمين ولزمه مدة وكان إماما حافظا محدثا لغويا فصيحا أديبا ماهرا بليغا آدب المؤرخين وأفصحهم لسانا وأحسنهم بيانا أورثته صحبة الإمام فنا من الفصاحة وأكسبته ملازمته إياه سهرا حمد صباحه وكان خطيب نيسابور وإمامها وفصيحها الذي ألقت إليه البلاغة زمامها وبليغها الذي لم يترك مقالا لقائل وأديبها الآتي بما لم يستطعه كثير من الأوائل</w:t>
      </w:r>
    </w:p>
    <w:p/>
    <w:p>
      <w:pPr/>
      <w:r>
        <w:rPr/>
        <w:t xml:space="preserve">رحل إلى خوارزم وإلى غزنة وجال في بلاد الهند وصنف السياق لتاريخ نيسابور</w:t>
      </w:r>
    </w:p>
    <w:p/>
    <w:p>
      <w:pPr/>
      <w:r>
        <w:rPr/>
        <w:t xml:space="preserve">وكتاب مجمع الغرائب في غريب الحديث وكتاب المفهم لشرح غريب مسلم</w:t>
      </w:r>
    </w:p>
    <w:p/>
    <w:p>
      <w:pPr/>
      <w:r>
        <w:rPr/>
        <w:t xml:space="preserve">توفي سنة تسع وعشرين وخمسمائة بنيسابور</w:t>
      </w:r>
    </w:p>
    <w:p>
      <w:pPr>
        <w:jc w:val="start"/>
        <w:bidi/>
      </w:pPr>
      <w:r>
        <w:rPr>
          <w:sz w:val="24"/>
          <w:szCs w:val="24"/>
          <w:b w:val="1"/>
          <w:bCs w:val="1"/>
          <w:rtl/>
        </w:rPr>
        <w:t xml:space="preserve">
طبقات الشافعية الكبرى،(دار هجر - القاهرة،1992،ط 2،ج 7،ص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الغافر السروستاني
</w:t>
      </w:r>
    </w:p>
    <w:p>
      <w:pPr/>
      <w:r>
        <w:rPr/>
        <w:t xml:space="preserve">عبد الغافر السروستاني من أهل فارس</w:t>
      </w:r>
    </w:p>
    <w:p/>
    <w:p>
      <w:pPr/>
      <w:r>
        <w:rPr/>
        <w:t xml:space="preserve">ويعرف بالركن</w:t>
      </w:r>
    </w:p>
    <w:p/>
    <w:p>
      <w:pPr/>
      <w:r>
        <w:rPr/>
        <w:t xml:space="preserve">تفقه بالمدرسة النظامية ببغداد وكان أديبا فاضلا عفيفا مستورا</w:t>
      </w:r>
    </w:p>
    <w:p/>
    <w:p>
      <w:pPr/>
      <w:r>
        <w:rPr/>
        <w:t xml:space="preserve">قال العماد الكاتب إنه غلب عليه العشق حتى حمل إلى البيمارستان وقيد ثم إنه عوفي مما ابتلى به ولم يقم بعد ذلك ببغداد خجلا وكتبت عنه أبياتا من شعره مليحة</w:t>
      </w:r>
    </w:p>
    <w:p>
      <w:pPr>
        <w:jc w:val="start"/>
        <w:bidi/>
      </w:pPr>
      <w:r>
        <w:rPr>
          <w:sz w:val="24"/>
          <w:szCs w:val="24"/>
          <w:b w:val="1"/>
          <w:bCs w:val="1"/>
          <w:rtl/>
        </w:rPr>
        <w:t xml:space="preserve">
طبقات الشافعية الكبرى،(دار هجر - القاهرة،1992،ط 2،ج 7،ص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الفارسي
</w:t>
      </w:r>
    </w:p>
    <w:p>
      <w:pPr/>
      <w:r>
        <w:rPr/>
        <w:t xml:space="preserve">أبو الحسن الفارسي </w:t>
      </w:r>
    </w:p>
    <w:p/>
    <w:p>
      <w:pPr/>
      <w:r>
        <w:rPr/>
        <w:t xml:space="preserve">أبو الحسن عبد الغافر بن إسماعيل بن عبد الغافر بن محمد بن عبد الغافر بن أحمد بن محمد بن سعيد الفارسي الخطيب من أهل نيسابور وخطيبها.</w:t>
      </w:r>
    </w:p>
    <w:p/>
    <w:p>
      <w:pPr/>
      <w:r>
        <w:rPr/>
        <w:t xml:space="preserve">ولد أبي عبد الله، وحفيد شيخ العصر أبي الحسين راوية ’’ الصحيح ’’ لمسلم بن الحجاج وأبو الحسن كان إماماً فاضلاً، متفنناً، عارفاً بالحديث واللغة، صاحب التصانيف الحسنة ’’ كسياق التاريخ لنيسابور ’’ و ’’ المفهم في صحيح مسلم ’’ وله شعر مليح رائق رشيق ونتف، وطرف، وتصانيفه تدل على كمال فضله، وتبحره في الأدب، وهو ابن بنت الأستاذ أبي القاسم القشيري، وهي أمه الرحيم كريمة. فوض إليه الخطابة بنيسابور فتولاها إلى حين وفاته. سمع أباه أبا عبد الله إسماعيل، وجده لأمه أبا القاسم القشيري، وجدته أم البنين فاطمة بن أبي علي الدقاق، وأبا حامد بن الحسن الأزهري، وأبا نصر عبد الرحمن بن علي بن موسى التاجر، وأبا صالح أحمد بن عبد الملك المؤذن، وأبا بكر يعقوب بن أحمد الصيرفي، وأبا بكر أحمد بن منصور ابن خلف المغربي، وجماعة كثيرة سواهم. كتب إلي الإجازة بجميع مسموعاته غير مرة، ودخلت نيسابور بعد وفاته بأشهر، وكانت ولادته الليلة الثامنة من شهر ربيع الآخر سنة إحدى وخمسين وأربعمئة وحصل لهد والده الإجازة عن عامة شيوخ أصبهان، وفارس، والعراقين، والحجاز مثل الحسن بن علي الجوهري، وأبي الحسين محمد ابن علي بن المهتدي بالله، وأبي يعلى محمد بن الحسين ابن الفراء وغيرهم. وكانت وفاته سنة تسع وعشرين وخمسمئة.</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الغافر بن إسماعيل بن أبي الحسين عبد الغافر بن محمد الحافظ المفيد اللغوي الإمام أبو الحسن الفارسي ثم النيسابوري
</w:t>
      </w:r>
    </w:p>
    <w:p>
      <w:pPr/>
      <w:r>
        <w:rPr/>
        <w:t xml:space="preserve">عبد الغافر بن إسماعيل بن أبي الحسين عبد الغافر بن محمد الحافظ المفيد اللغوي الإمام أبو الحسن الفارسي ثم النيسابوري </w:t>
      </w:r>
    </w:p>
    <w:p/>
    <w:p>
      <w:pPr/>
      <w:r>
        <w:rPr/>
        <w:t xml:space="preserve">صاحب تاريخ نيسابور ومجمع الغرائب وشرح مسلم</w:t>
      </w:r>
    </w:p>
    <w:p/>
    <w:p>
      <w:pPr/>
      <w:r>
        <w:rPr/>
        <w:t xml:space="preserve">كان من أعيان المحدثين بصيرًا باللغات فصيحاً بليغاً</w:t>
      </w:r>
    </w:p>
    <w:p/>
    <w:p>
      <w:pPr/>
      <w:r>
        <w:rPr/>
        <w:t xml:space="preserve">ولد سنة إحدى وخمسين وأربعمائة وأجاز له الكنجروذي وأبو محمد الجوهري ورحل أجاز لابن عساكر مات سنة تسع وعشرين وخمسمائة</w:t>
      </w:r>
    </w:p>
    <w:p>
      <w:pPr>
        <w:jc w:val="start"/>
        <w:bidi/>
      </w:pPr>
      <w:r>
        <w:rPr>
          <w:sz w:val="24"/>
          <w:szCs w:val="24"/>
          <w:b w:val="1"/>
          <w:bCs w:val="1"/>
          <w:rtl/>
        </w:rPr>
        <w:t xml:space="preserve">
طبقات الحفاظ،(دار الكتب العلمية - بيروت،1403،ط 1،ج 1،ص 462)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2026-06-21T15:59:01+03:00</dcterms:created>
  <dcterms:modified xsi:type="dcterms:W3CDTF">2026-06-21T15:59:01+03:00</dcterms:modified>
</cp:coreProperties>
</file>

<file path=docProps/custom.xml><?xml version="1.0" encoding="utf-8"?>
<Properties xmlns="http://schemas.openxmlformats.org/officeDocument/2006/custom-properties" xmlns:vt="http://schemas.openxmlformats.org/officeDocument/2006/docPropsVTypes"/>
</file>