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ابن وداعة
</w:t>
      </w:r>
    </w:p>
    <w:p>
      <w:pPr>
        <w:jc w:val="start"/>
        <w:bidi/>
      </w:pPr>
      <w:r>
        <w:rPr>
          <w:rFonts w:ascii="arial" w:hAnsi="arial" w:eastAsia="arial" w:cs="arial"/>
          <w:sz w:val="28"/>
          <w:szCs w:val="28"/>
          <w:b w:val="1"/>
          <w:bCs w:val="1"/>
          <w:rtl/>
        </w:rPr>
        <w:t xml:space="preserve">الصاحب ابن وداعة
</w:t>
      </w:r>
    </w:p>
    <w:p>
      <w:pPr/>
      <w:r>
        <w:rPr/>
        <w:t xml:space="preserve">الصاحب ابن وداعة عبد العزيز بن منصور بن محمد بن محمد بن وداعة، الصاحب عز الدين الحلبي. ولي خطابة جبلة في أوائل أمره، وولي للملك الناصر شد الدواوين بدمشق وكان يعتمد عليه، وكان يظهر النسك والدين ويقتصد في ملبسه وأموره. فلما تسلطن الظاهر ولاه وزارة الشام، ولما ولي النجيبي نيابة السلطنة حصل بينه وبين ابن وداعة وحشة لأن النجيبي كان سنيا، وكتب ابن وداعة إلى السلطان يطلب منه مشدا تركيا، وظن أنه يكون بحكمه ويستريح من النجيبي، فرتب السلطان الأمير عز الدين كشتغدي الشقيري فوقع بينهما، وكان يهينه، ثم كاتب فيه، فجاء المرسوم بمصادرته فصودر. وأخذ خطه بجملة كثيرة وعصره وعلقه وضربه في قاعة الشد، وباع موجوده وأملاكه التي كان وقفها وحمل ثمنها، ثم طلب إلى مصر فتوجه ومرض في الطريق ودخل مثقلا فمات بالقاهرة سنة ست وستين وست مائة، وله مسجد وتربة بقاسيون، وله وقف بر.</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2026-06-21T17:18:59+03:00</dcterms:created>
  <dcterms:modified xsi:type="dcterms:W3CDTF">2026-06-21T17:18:59+03:00</dcterms:modified>
</cp:coreProperties>
</file>

<file path=docProps/custom.xml><?xml version="1.0" encoding="utf-8"?>
<Properties xmlns="http://schemas.openxmlformats.org/officeDocument/2006/custom-properties" xmlns:vt="http://schemas.openxmlformats.org/officeDocument/2006/docPropsVTypes"/>
</file>