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عمران الأعرج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عمران الأعرج
</w:t>
      </w:r>
    </w:p>
    <w:p>
      <w:pPr/>
      <w:r>
        <w:rPr/>
        <w:t xml:space="preserve">ابن عمران الأعرج عبد العزيز بن عمران المدني الأعرج، اتصل بيحيى البرمكي. قال ابن معين: ليس بثقة، إنما كان صاحب شعر. وقال النسائي: متروك. وقال أحمد بن حنبل: لم أكتب عنه. توفي في حدود الستين، و في حدود السبعين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2026-06-21T20:48:53+03:00</dcterms:created>
  <dcterms:modified xsi:type="dcterms:W3CDTF">2026-06-21T20:48:53+03:00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