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المطرف القنازعي
</w:t>
      </w:r>
    </w:p>
    <w:p>
      <w:pPr>
        <w:jc w:val="start"/>
        <w:bidi/>
      </w:pPr>
      <w:r>
        <w:rPr>
          <w:rFonts w:ascii="arial" w:hAnsi="arial" w:eastAsia="arial" w:cs="arial"/>
          <w:sz w:val="28"/>
          <w:szCs w:val="28"/>
          <w:b w:val="1"/>
          <w:bCs w:val="1"/>
          <w:rtl/>
        </w:rPr>
        <w:t xml:space="preserve">أبو المطرف القنازعي
</w:t>
      </w:r>
    </w:p>
    <w:p>
      <w:pPr/>
      <w:r>
        <w:rPr/>
        <w:t xml:space="preserve">أبو المطرف القنازعي عبد الرحمن بن مروان بن عبد الرحمن، أبو المطرف الأنصاري القنازعي القرطبي الفقيه المالكي. نشر العلم وأقرأ القرآن، وكان عالما عاملا فقيها حافظا ورعا متقشفا. صنف شرح الموطأ، وكان له معرفة باللغة والأدب. وتوفي سنة ثلاث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2026-06-10T05:51:41+03:00</dcterms:created>
  <dcterms:modified xsi:type="dcterms:W3CDTF">2026-06-10T05:51:41+03:00</dcterms:modified>
</cp:coreProperties>
</file>

<file path=docProps/custom.xml><?xml version="1.0" encoding="utf-8"?>
<Properties xmlns="http://schemas.openxmlformats.org/officeDocument/2006/custom-properties" xmlns:vt="http://schemas.openxmlformats.org/officeDocument/2006/docPropsVTypes"/>
</file>