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إسماعيل
</w:t>
      </w:r>
    </w:p>
    <w:p>
      <w:pPr>
        <w:jc w:val="start"/>
        <w:bidi/>
      </w:pPr>
      <w:r>
        <w:rPr>
          <w:rFonts w:ascii="arial" w:hAnsi="arial" w:eastAsia="arial" w:cs="arial"/>
          <w:sz w:val="28"/>
          <w:szCs w:val="28"/>
          <w:b w:val="1"/>
          <w:bCs w:val="1"/>
          <w:rtl/>
        </w:rPr>
        <w:t xml:space="preserve">محمد بن إسماعيل
</w:t>
      </w:r>
    </w:p>
    <w:p>
      <w:pPr/>
      <w:r>
        <w:rPr/>
        <w:t xml:space="preserve">محمد بن إسماعيل  محمد (بفتح الميم الاولى) بن إسماعيل (السلطان) ابن الشريف، الحسني العلوي، ويقال له محمد العالم: أمير ثائر. من علويي المغرب. ولاه أبوه درعة، فمراكش، ثم تارودانت. واستخلفه بفاس مدة. وأعاده إلى درعة، في بلاد السوس، فاستقل بها، وبايع له أهلها. وهاجم مراكش، فاستولى عليها عنوة، فأرسل إليه أبوه من قاتله وأسره. ولما جئ به إلى أبيه (بمكناس الزيتون) أمر بإقامة الحد الشرعي عليه، فقطعت يده ورجله من خلاف، فمات متأثرا من ذلك. </w:t>
      </w:r>
    </w:p>
    <w:p>
      <w:pPr>
        <w:jc w:val="start"/>
        <w:bidi/>
      </w:pPr>
      <w:r>
        <w:rPr>
          <w:sz w:val="24"/>
          <w:szCs w:val="24"/>
          <w:b w:val="1"/>
          <w:bCs w:val="1"/>
          <w:rtl/>
        </w:rPr>
        <w:t xml:space="preserve">
الأعلام،(دار العلم للملايين - بيروت،2002،ط 15،ج 6،ص 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2026-07-23T18:47:28+03:00</dcterms:created>
  <dcterms:modified xsi:type="dcterms:W3CDTF">2026-07-23T18:47:28+03:00</dcterms:modified>
</cp:coreProperties>
</file>

<file path=docProps/custom.xml><?xml version="1.0" encoding="utf-8"?>
<Properties xmlns="http://schemas.openxmlformats.org/officeDocument/2006/custom-properties" xmlns:vt="http://schemas.openxmlformats.org/officeDocument/2006/docPropsVTypes"/>
</file>