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الخلوتي
</w:t>
      </w:r>
    </w:p>
    <w:p>
      <w:pPr>
        <w:jc w:val="start"/>
        <w:bidi/>
      </w:pPr>
      <w:r>
        <w:rPr>
          <w:rFonts w:ascii="arial" w:hAnsi="arial" w:eastAsia="arial" w:cs="arial"/>
          <w:sz w:val="28"/>
          <w:szCs w:val="28"/>
          <w:b w:val="1"/>
          <w:bCs w:val="1"/>
          <w:rtl/>
        </w:rPr>
        <w:t xml:space="preserve">الخلوتي
</w:t>
      </w:r>
    </w:p>
    <w:p>
      <w:pPr/>
      <w:r>
        <w:rPr/>
        <w:t xml:space="preserve">الخلوتي  محمد بن أحمد بن على البهوتي الخلوتي: فقيه حنبلي مصري. له ’’تحريرات’’ على الاقناع وعلى المنتهى، في الفقه، جردت بعد موته من هامش نسخته فبلغت ’’حاشية الاقناع’’ اثني عشر كراسا و’’حاشية المنتهى’’ أربعين كراسا، و’’ التحفة –خ’’ رسالة في السيرة النبوية. </w:t>
      </w:r>
    </w:p>
    <w:p>
      <w:pPr>
        <w:jc w:val="start"/>
        <w:bidi/>
      </w:pPr>
      <w:r>
        <w:rPr>
          <w:sz w:val="24"/>
          <w:szCs w:val="24"/>
          <w:b w:val="1"/>
          <w:bCs w:val="1"/>
          <w:rtl/>
        </w:rPr>
        <w:t xml:space="preserve">
الأعلام،(دار العلم للملايين - بيروت،2002،ط 15،ج 6،ص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2026-07-23T06:37:44+03:00</dcterms:created>
  <dcterms:modified xsi:type="dcterms:W3CDTF">2026-07-23T06:37:44+03:00</dcterms:modified>
</cp:coreProperties>
</file>

<file path=docProps/custom.xml><?xml version="1.0" encoding="utf-8"?>
<Properties xmlns="http://schemas.openxmlformats.org/officeDocument/2006/custom-properties" xmlns:vt="http://schemas.openxmlformats.org/officeDocument/2006/docPropsVTypes"/>
</file>