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الغزي الشافعي
</w:t>
      </w:r>
    </w:p>
    <w:p>
      <w:pPr>
        <w:jc w:val="start"/>
        <w:bidi/>
      </w:pPr>
      <w:r>
        <w:rPr>
          <w:rFonts w:ascii="arial" w:hAnsi="arial" w:eastAsia="arial" w:cs="arial"/>
          <w:sz w:val="28"/>
          <w:szCs w:val="28"/>
          <w:b w:val="1"/>
          <w:bCs w:val="1"/>
          <w:rtl/>
        </w:rPr>
        <w:t xml:space="preserve">أبو عبد الله الغزي الشافعي
</w:t>
      </w:r>
    </w:p>
    <w:p>
      <w:pPr/>
      <w:r>
        <w:rPr/>
        <w:t xml:space="preserve">أبو عبد الله الغزي الشافعي الحسين بن عبد الرحمن بن محبوب الأنصاري الغزي، أبو عبد الله الفقيه.</w:t>
      </w:r>
    </w:p>
    <w:p/>
    <w:p>
      <w:pPr/>
      <w:r>
        <w:rPr/>
        <w:t xml:space="preserve">أصله من غزة هاشم وولد ببغداد، ونشأ بها. وقرأ الفقه على مذهب الشافعي مدة طويلة، وسمع الحديث الكثير، من أبي غالب محمد بن الحسن الباقلاني، وأبي سعد محمد بن عبد الكريم بن خشيش، وأبي الحسن علي بن محمد بن علي بن العلاف، وغيرهم، وكتب بخطه الكثير.</w:t>
      </w:r>
    </w:p>
    <w:p/>
    <w:p>
      <w:pPr/>
      <w:r>
        <w:rPr/>
        <w:t xml:space="preserve">وكان يورق للناس. وكان صدوقا مرضي الطريقة، محمود السيرة، ورعا زاهدا، صابرا على الفقر، قانعا باليسير. توفي سنة إحدى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2026-07-25T16:41:30+03:00</dcterms:created>
  <dcterms:modified xsi:type="dcterms:W3CDTF">2026-07-25T16:41:30+03:00</dcterms:modified>
</cp:coreProperties>
</file>

<file path=docProps/custom.xml><?xml version="1.0" encoding="utf-8"?>
<Properties xmlns="http://schemas.openxmlformats.org/officeDocument/2006/custom-properties" xmlns:vt="http://schemas.openxmlformats.org/officeDocument/2006/docPropsVTypes"/>
</file>