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تقي الدين
</w:t>
      </w:r>
    </w:p>
    <w:p>
      <w:pPr>
        <w:jc w:val="start"/>
        <w:bidi/>
      </w:pPr>
      <w:r>
        <w:rPr>
          <w:rFonts w:ascii="arial" w:hAnsi="arial" w:eastAsia="arial" w:cs="arial"/>
          <w:sz w:val="28"/>
          <w:szCs w:val="28"/>
          <w:b w:val="1"/>
          <w:bCs w:val="1"/>
          <w:rtl/>
        </w:rPr>
        <w:t xml:space="preserve">الحكيم تقي الدين
</w:t>
      </w:r>
    </w:p>
    <w:p>
      <w:pPr/>
      <w:r>
        <w:rPr/>
        <w:t xml:space="preserve">الحكيم تقي الدين أبو بكر بن يوسف بن محمد الحكيم، تقي الدين نزيل الروم؛ كان من الرؤساء الفضلاء. استوطن الروم وتقدم عند سلطانه، وكان يتردد في الرسائل من الروم إلى الشام ومصر، فتمول وأثرى. وأدركه أجله بدمشق، فأوصى بثلث ماله يصرف في الصدقة وفكاك الأسرى. وأسند الوصية إلى الأمير جمال الدين موسى بن يغمور. وكانت وفاته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2026-07-27T09:06:55+03:00</dcterms:created>
  <dcterms:modified xsi:type="dcterms:W3CDTF">2026-07-27T09:06:55+03:00</dcterms:modified>
</cp:coreProperties>
</file>

<file path=docProps/custom.xml><?xml version="1.0" encoding="utf-8"?>
<Properties xmlns="http://schemas.openxmlformats.org/officeDocument/2006/custom-properties" xmlns:vt="http://schemas.openxmlformats.org/officeDocument/2006/docPropsVTypes"/>
</file>