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ناظر الجيش
</w:t>
      </w:r>
    </w:p>
    <w:p>
      <w:pPr>
        <w:jc w:val="start"/>
        <w:bidi/>
      </w:pPr>
      <w:r>
        <w:rPr>
          <w:rFonts w:ascii="arial" w:hAnsi="arial" w:eastAsia="arial" w:cs="arial"/>
          <w:sz w:val="28"/>
          <w:szCs w:val="28"/>
          <w:b w:val="1"/>
          <w:bCs w:val="1"/>
          <w:rtl/>
        </w:rPr>
        <w:t xml:space="preserve">علم الدين ناظر الجيش
</w:t>
      </w:r>
    </w:p>
    <w:p>
      <w:pPr/>
      <w:r>
        <w:rPr/>
        <w:t xml:space="preserve">علم الدين ناظر الجيش إسماعيل بن عبد الجبار بن يوسف بن عبد الجبار بن شبل القاضي أبو الطاهر علم الدين ابن القاضي الأكرم أبي الحجاج الجذامي الصويتي المقدسي الأصل المصري، قرأ الأدب على ابن بري وصحب شيخ الديوان السديد أبا القاسم كاتب ناصر الدولة وانتفع بصحبته، وسمع من السلفي، وولي ديوان الجيش للسلطان صلاح الدين ثم للعزيز ولده وللأفضل ثم للعادل إلى أن صرف منه، وكان شاعرا مترسلا، وعاش هو ووالده عمرا واحدا كل واحد منهما إحدى وستين سنة وماتا في ذي القعدة، وولي كل منهما ديوان الجيش عشرين سنة، وهذا اتفاق غريب. وكانت وفاته في سنة عشر وستمائة.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2026-07-27T11:31:01+03:00</dcterms:created>
  <dcterms:modified xsi:type="dcterms:W3CDTF">2026-07-27T11:31:01+03:00</dcterms:modified>
</cp:coreProperties>
</file>

<file path=docProps/custom.xml><?xml version="1.0" encoding="utf-8"?>
<Properties xmlns="http://schemas.openxmlformats.org/officeDocument/2006/custom-properties" xmlns:vt="http://schemas.openxmlformats.org/officeDocument/2006/docPropsVTypes"/>
</file>