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لهيعة بن عيسى
</w:t>
      </w:r>
    </w:p>
    <w:p>
      <w:pPr>
        <w:jc w:val="start"/>
        <w:bidi/>
      </w:pPr>
      <w:r>
        <w:rPr>
          <w:rFonts w:ascii="arial" w:hAnsi="arial" w:eastAsia="arial" w:cs="arial"/>
          <w:sz w:val="28"/>
          <w:szCs w:val="28"/>
          <w:b w:val="1"/>
          <w:bCs w:val="1"/>
          <w:rtl/>
        </w:rPr>
        <w:t xml:space="preserve">لهيعة بن عيسى
</w:t>
      </w:r>
    </w:p>
    <w:p>
      <w:pPr/>
      <w:r>
        <w:rPr/>
        <w:t xml:space="preserve">لهيعة بن عيسى  لهيعة بن عيسى الحضرمي: قاض من حضارمة مصر ولي قضاءها سنة 196هـ ، ايام خلع الامين العباسي والفتنة مشتعلة وعطاء أهل الديوان معطل فجمع لهيعة اموال الاحباس (الاوقاف) وفرض فيها فروضا واجرى العطاء فحمد له ذلك وصار سنة من بعدهوسميت طريقته فروض لهيعة إلى ان سماها ابن ابي الليث فروض القاضي وعزل سنة 198 واعيد في مبتدأ 199 فأستمر إلى ان مات وهو على القضاء وكان يقول ان تاسع تسعة ولوا قضاء مصر من حضرموت. </w:t>
      </w:r>
    </w:p>
    <w:p>
      <w:pPr>
        <w:jc w:val="start"/>
        <w:bidi/>
      </w:pPr>
      <w:r>
        <w:rPr>
          <w:sz w:val="24"/>
          <w:szCs w:val="24"/>
          <w:b w:val="1"/>
          <w:bCs w:val="1"/>
          <w:rtl/>
        </w:rPr>
        <w:t xml:space="preserve">
الأعلام،(دار العلم للملايين - بيروت،2002،ط 15،ج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2026-06-27T22:54:41+03:00</dcterms:created>
  <dcterms:modified xsi:type="dcterms:W3CDTF">2026-06-27T22:54:41+03:00</dcterms:modified>
</cp:coreProperties>
</file>

<file path=docProps/custom.xml><?xml version="1.0" encoding="utf-8"?>
<Properties xmlns="http://schemas.openxmlformats.org/officeDocument/2006/custom-properties" xmlns:vt="http://schemas.openxmlformats.org/officeDocument/2006/docPropsVTypes"/>
</file>