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لحيان بن هذيل
</w:t>
      </w:r>
    </w:p>
    <w:p>
      <w:pPr>
        <w:jc w:val="start"/>
        <w:bidi/>
      </w:pPr>
      <w:r>
        <w:rPr>
          <w:rFonts w:ascii="arial" w:hAnsi="arial" w:eastAsia="arial" w:cs="arial"/>
          <w:sz w:val="28"/>
          <w:szCs w:val="28"/>
          <w:b w:val="1"/>
          <w:bCs w:val="1"/>
          <w:rtl/>
        </w:rPr>
        <w:t xml:space="preserve">لحيان بن هذيل
</w:t>
      </w:r>
    </w:p>
    <w:p>
      <w:pPr/>
      <w:r>
        <w:rPr/>
        <w:t xml:space="preserve">لحيان بن هذيل  لحيان بن هذيل بن مدركة، من عدنان:جد جاهلي. أظهرت الآثار أنه كانت لبنيه إمارة في شمالي شبه الجزيرة العربية، قبل الميلاد أو بعده. ووجد في جهات ’’ العلا’’ من منازل الحج بين الشام والمدينة، بضع مئات من الكتابات ’’ اللحيانية ’’ وفي مؤرخي العرب من يجعل ’’لحيان’’ هذا يماني الأصل، من جرهم، من قحطان، دخل بنوه في هذيل. </w:t>
      </w:r>
    </w:p>
    <w:p>
      <w:pPr>
        <w:jc w:val="start"/>
        <w:bidi/>
      </w:pPr>
      <w:r>
        <w:rPr>
          <w:sz w:val="24"/>
          <w:szCs w:val="24"/>
          <w:b w:val="1"/>
          <w:bCs w:val="1"/>
          <w:rtl/>
        </w:rPr>
        <w:t xml:space="preserve">
الأعلام،(دار العلم للملايين - بيروت،2002،ط 15،ج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2026-06-27T21:27:58+03:00</dcterms:created>
  <dcterms:modified xsi:type="dcterms:W3CDTF">2026-06-27T21:27:58+03:00</dcterms:modified>
</cp:coreProperties>
</file>

<file path=docProps/custom.xml><?xml version="1.0" encoding="utf-8"?>
<Properties xmlns="http://schemas.openxmlformats.org/officeDocument/2006/custom-properties" xmlns:vt="http://schemas.openxmlformats.org/officeDocument/2006/docPropsVTypes"/>
</file>