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معتمد الدولة
</w:t>
      </w:r>
    </w:p>
    <w:p>
      <w:pPr>
        <w:jc w:val="start"/>
        <w:bidi/>
      </w:pPr>
      <w:r>
        <w:rPr>
          <w:rFonts w:ascii="arial" w:hAnsi="arial" w:eastAsia="arial" w:cs="arial"/>
          <w:sz w:val="28"/>
          <w:szCs w:val="28"/>
          <w:b w:val="1"/>
          <w:bCs w:val="1"/>
          <w:rtl/>
        </w:rPr>
        <w:t xml:space="preserve">معتمد الدولة
</w:t>
      </w:r>
    </w:p>
    <w:p>
      <w:pPr/>
      <w:r>
        <w:rPr/>
        <w:t xml:space="preserve">معتمد الدولة  قرواش بن المقلد بن المسيب العقيلي، من هوازن، أبو المنيع، معتمد الدولة: صاحب الموصل والكوفة والمدائن وسقي الفرات. وليها بعد مقتل أبيه (سنة 391 هـ) وكان أديبا شاعرا. أحسن تدبير ملكه وسياسته، ودامت إمارته خمسين سنة. ووقع خصام بينه وبين أخيه بركة بن المقلد ة، فقبض عليه بركة سنة 441 وحبسه في إحدى قلاع الموصل. ثم نقله ابن أخيه قريش بن بدران بن المقلد، إلى قلعة الجراحية، من أعمال الموصل، فتوفي بها. </w:t>
      </w:r>
    </w:p>
    <w:p>
      <w:pPr>
        <w:jc w:val="start"/>
        <w:bidi/>
      </w:pPr>
      <w:r>
        <w:rPr>
          <w:sz w:val="24"/>
          <w:szCs w:val="24"/>
          <w:b w:val="1"/>
          <w:bCs w:val="1"/>
          <w:rtl/>
        </w:rPr>
        <w:t xml:space="preserve">
الأعلام،(دار العلم للملايين - بيروت،2002،ط 15،ج 5،ص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2026-05-08T18:54:34+03:00</dcterms:created>
  <dcterms:modified xsi:type="dcterms:W3CDTF">2026-05-08T18:54:34+03:00</dcterms:modified>
</cp:coreProperties>
</file>

<file path=docProps/custom.xml><?xml version="1.0" encoding="utf-8"?>
<Properties xmlns="http://schemas.openxmlformats.org/officeDocument/2006/custom-properties" xmlns:vt="http://schemas.openxmlformats.org/officeDocument/2006/docPropsVTypes"/>
</file>