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المجيب
</w:t>
      </w:r>
    </w:p>
    <w:p>
      <w:pPr>
        <w:jc w:val="start"/>
        <w:bidi/>
      </w:pPr>
      <w:r>
        <w:rPr>
          <w:rFonts w:ascii="arial" w:hAnsi="arial" w:eastAsia="arial" w:cs="arial"/>
          <w:sz w:val="28"/>
          <w:szCs w:val="28"/>
          <w:b w:val="1"/>
          <w:bCs w:val="1"/>
          <w:rtl/>
        </w:rPr>
        <w:t xml:space="preserve">ابن عبد المجيب
</w:t>
      </w:r>
    </w:p>
    <w:p>
      <w:pPr/>
      <w:r>
        <w:rPr/>
        <w:t xml:space="preserve">ابن عبد المجيب محمد بن عبد المجيب بن أبي القاسم بن زهير أبو عبد الله التاجر من أهل الحربية. أسمعه والده في صباه من أبي الوقت عبد الأول بن عيسى السجزي وغيره وحدث بديار مصر. قال محب الدين ابن النجار: ذكر لنا عيسى بن عبد العزيز اللخمي بالإسكندرية أنه قرأ عليه القرآن بالروايات وذكر لنا أنه كان يقول الشعر وله تواليف.</w:t>
      </w:r>
    </w:p>
    <w:p/>
    <w:p>
      <w:pPr/>
      <w:r>
        <w:rPr/>
        <w:t xml:space="preserve">ابن فخر الدين ابن الأقفاصي محمد بن عبد المجيد بن عبد الله القاضي سعد الدين ابن فخر الدين ابن صفي الدين ابن الأقفاصي. ولي نظر الخزانة بمصر وتوفي بالقاهرة في ثامن عشرين ذي الحجة سنة أربع عشرة وسبع مائة، ولما توجه السلطان الملك الناصر محمد إلى الكرك سنة ثمان وسبعمائة توجه صحبته وأظهر شرا كثيرا وعسفا.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2026-07-23T14:01:33+03:00</dcterms:created>
  <dcterms:modified xsi:type="dcterms:W3CDTF">2026-07-23T14:01:33+03:00</dcterms:modified>
</cp:coreProperties>
</file>

<file path=docProps/custom.xml><?xml version="1.0" encoding="utf-8"?>
<Properties xmlns="http://schemas.openxmlformats.org/officeDocument/2006/custom-properties" xmlns:vt="http://schemas.openxmlformats.org/officeDocument/2006/docPropsVTypes"/>
</file>