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طوقان
</w:t>
      </w:r>
    </w:p>
    <w:p>
      <w:pPr>
        <w:jc w:val="start"/>
        <w:bidi/>
      </w:pPr>
      <w:r>
        <w:rPr>
          <w:rFonts w:ascii="arial" w:hAnsi="arial" w:eastAsia="arial" w:cs="arial"/>
          <w:sz w:val="28"/>
          <w:szCs w:val="28"/>
          <w:b w:val="1"/>
          <w:bCs w:val="1"/>
          <w:rtl/>
        </w:rPr>
        <w:t xml:space="preserve">قدري طوقان
</w:t>
      </w:r>
    </w:p>
    <w:p>
      <w:pPr/>
      <w:r>
        <w:rPr/>
        <w:t xml:space="preserve">قدري طوقان  قدري بن حافظ طوقان النابلسي ثم الأردني: باحث مدرس فلسطيني. ولد بنابلس وتخرج بالجامعة الاميركية في بيروت (1929 م) وعمل في التدريس. وتولى إدارة مدرسة النجاح بنابلس. واشتهر بمعالجة الابحاث العلمية والرياضية. وانتخب عضوا مراسلا للمجمعين العلميين العربيين بدمشق والقاهرة (1961) ودخل البرلمان الاردني نائبا عن نابلس مرتين وتولى وزارة الخارجية بعمان سنة (65) ومثل بلاده في كثير من المؤتمرات العلمية. وتوفي ببيروت ودفن بنابلس. مؤلفاته كثيرة مطبوعة، منها ’’ تراث العرب العلمي) و (العلوم عند العرب) و (العيون في العلم) و (الكون العجيب) و (بين البقاء والفناء ’’ من سلسلة اقرأ. و (جمال الدين الافغاني) و (بين العلم والادب) و (بعد النكبة) و (مقام العقل عند العرب) و (الاسلوب العلمي عند العرب ’’ محاضرة.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2026-07-23T18:39:52+03:00</dcterms:created>
  <dcterms:modified xsi:type="dcterms:W3CDTF">2026-07-23T18:39:52+03:00</dcterms:modified>
</cp:coreProperties>
</file>

<file path=docProps/custom.xml><?xml version="1.0" encoding="utf-8"?>
<Properties xmlns="http://schemas.openxmlformats.org/officeDocument/2006/custom-properties" xmlns:vt="http://schemas.openxmlformats.org/officeDocument/2006/docPropsVTypes"/>
</file>