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البرق
</w:t>
      </w:r>
    </w:p>
    <w:p>
      <w:pPr/>
      <w:r>
        <w:rPr/>
        <w:t xml:space="preserve">أبو البرق محمد بن عبد الله أبو البرق المدايني مولى خثعم، بلغ سنا عالية يقال إنه تجاوز الماية، كان يتشيع، قال وبه تمثل المأمون:</w:t>
      </w:r>
    </w:p>
    <w:p/>
    <w:p>
      <w:pPr>
        <w:jc w:val="center"/>
      </w:pPr>
      <w:r>
        <w:rPr>
          <w:color w:val="ff0000"/>
        </w:rPr>
        <w:t xml:space="preserve">بعدا وسحقا لك من أمة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تنكر المنكر في وقته</w:t>
      </w:r>
    </w:p>
    <w:p/>
    <w:p>
      <w:pPr>
        <w:jc w:val="center"/>
      </w:pPr>
      <w:r>
        <w:rPr>
          <w:color w:val="ff0000"/>
        </w:rPr>
        <w:t xml:space="preserve">أرجوا عليا وأتوا غيره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وقلدوه الأمر عن بيته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2026-07-25T20:29:21+03:00</dcterms:created>
  <dcterms:modified xsi:type="dcterms:W3CDTF">2026-07-25T20:29:21+03:00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