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الكامل الآمدي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الكامل الآمدي
</w:t>
      </w:r>
    </w:p>
    <w:p>
      <w:pPr/>
      <w:r>
        <w:rPr/>
        <w:t xml:space="preserve">الكامل الآمدي محمد بن جعفر بن بكرون الآمدي المعروف بالكامل، أورد له العماد الكاتب في الخريدة:</w:t>
      </w:r>
    </w:p>
    <w:p/>
    <w:p>
      <w:pPr>
        <w:jc w:val="center"/>
      </w:pPr>
      <w:r>
        <w:rPr>
          <w:color w:val="ff0000"/>
        </w:rPr>
        <w:t xml:space="preserve">يستعذب القلب منه ما يعذبه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ويستلذ هواه وهو يعطبه</w:t>
      </w:r>
    </w:p>
    <w:p/>
    <w:p>
      <w:pPr>
        <w:jc w:val="center"/>
      </w:pPr>
      <w:r>
        <w:rPr>
          <w:color w:val="ff0000"/>
        </w:rPr>
        <w:t xml:space="preserve">مثل الفراشة تدني جسمها أبدا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ذبالة مصباح فتلهبه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2026-07-27T08:54:25+03:00</dcterms:created>
  <dcterms:modified xsi:type="dcterms:W3CDTF">2026-07-27T08:54:25+03:00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