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الحرث نقيب الأشراف بالكوفة
</w:t>
      </w:r>
    </w:p>
    <w:p>
      <w:pPr>
        <w:jc w:val="start"/>
        <w:bidi/>
      </w:pPr>
      <w:r>
        <w:rPr>
          <w:rFonts w:ascii="arial" w:hAnsi="arial" w:eastAsia="arial" w:cs="arial"/>
          <w:sz w:val="28"/>
          <w:szCs w:val="28"/>
          <w:b w:val="1"/>
          <w:bCs w:val="1"/>
          <w:rtl/>
        </w:rPr>
        <w:t xml:space="preserve">أبو الحرث نقيب الأشراف بالكوفة
</w:t>
      </w:r>
    </w:p>
    <w:p>
      <w:pPr/>
      <w:r>
        <w:rPr/>
        <w:t xml:space="preserve">أبو الحرث نقيب الأشراف بالكوفة محمد بن محمد بن عمر العلوي أبو الحرث نقيب العلويين بالكوفة، كان شجاعا جوادا دينا رئيسا وكانت إليه النقابة مع تسيير الحاج فحج بالناس عشر سنين ينفق عليهم من ماله ويحمل المنقطعين ويؤدي الخفارة للعرب عن الركب من ماله، وتوفي بالكوفة في جمادى الأولى في سنة ثلث وأربع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2026-05-10T19:29:19+03:00</dcterms:created>
  <dcterms:modified xsi:type="dcterms:W3CDTF">2026-05-10T19:29:19+03:00</dcterms:modified>
</cp:coreProperties>
</file>

<file path=docProps/custom.xml><?xml version="1.0" encoding="utf-8"?>
<Properties xmlns="http://schemas.openxmlformats.org/officeDocument/2006/custom-properties" xmlns:vt="http://schemas.openxmlformats.org/officeDocument/2006/docPropsVTypes"/>
</file>