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علوان
</w:t>
      </w:r>
    </w:p>
    <w:p>
      <w:pPr>
        <w:jc w:val="start"/>
        <w:bidi/>
      </w:pPr>
      <w:r>
        <w:rPr>
          <w:rFonts w:ascii="arial" w:hAnsi="arial" w:eastAsia="arial" w:cs="arial"/>
          <w:sz w:val="28"/>
          <w:szCs w:val="28"/>
          <w:b w:val="1"/>
          <w:bCs w:val="1"/>
          <w:rtl/>
        </w:rPr>
        <w:t xml:space="preserve">ابن علوان
</w:t>
      </w:r>
    </w:p>
    <w:p>
      <w:pPr/>
      <w:r>
        <w:rPr/>
        <w:t xml:space="preserve">ابن علوان  أحمد بن علوان، أبو العباس، صفي الدين: صوفي يماني متأدب. من قرية يفرس (كيفرك) من ضواحي مدينة تعز. قرأ شيئا من النحو واللغة ونظم الشعر وعمل كاتبا في بعض الدواوين السلطانية كما كان أبوه من قبله. وألف كتبا، أو رسائل، منها (الفتوح المصونة والأسرار المخزونة - خ) تصوف، في مكتبة الكاف بجامع تريم، و (البحر المشكل الغريب - خ) رسالة تصوفية، في مكتبة الرياض (2343) وله (ديوان شعر’’ قال صاحب الطبقات: موجدود في أيدي الناس وعندي منه نسخة، غالبه في التصوف. وأورد نماذج منه. وفي مجموعة بدار الكتب (A 28 و 31 رسائل) ’’ من كلام صفي الدين أحمد بن علوان - خ). </w:t>
      </w:r>
    </w:p>
    <w:p>
      <w:pPr>
        <w:jc w:val="start"/>
        <w:bidi/>
      </w:pPr>
      <w:r>
        <w:rPr>
          <w:sz w:val="24"/>
          <w:szCs w:val="24"/>
          <w:b w:val="1"/>
          <w:bCs w:val="1"/>
          <w:rtl/>
        </w:rPr>
        <w:t xml:space="preserve">
الأعلام،(دار العلم للملايين - بيروت،2002،ط 15،ج 1،ص 170)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2026-07-02T12:47:11+03:00</dcterms:created>
  <dcterms:modified xsi:type="dcterms:W3CDTF">2026-07-02T12:47:11+03:00</dcterms:modified>
</cp:coreProperties>
</file>

<file path=docProps/custom.xml><?xml version="1.0" encoding="utf-8"?>
<Properties xmlns="http://schemas.openxmlformats.org/officeDocument/2006/custom-properties" xmlns:vt="http://schemas.openxmlformats.org/officeDocument/2006/docPropsVTypes"/>
</file>