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فاتك بن محمد
</w:t>
      </w:r>
    </w:p>
    <w:p>
      <w:pPr>
        <w:jc w:val="start"/>
        <w:bidi/>
      </w:pPr>
      <w:r>
        <w:rPr>
          <w:rFonts w:ascii="arial" w:hAnsi="arial" w:eastAsia="arial" w:cs="arial"/>
          <w:sz w:val="28"/>
          <w:szCs w:val="28"/>
          <w:b w:val="1"/>
          <w:bCs w:val="1"/>
          <w:rtl/>
        </w:rPr>
        <w:t xml:space="preserve">فاتك بن محمد
</w:t>
      </w:r>
    </w:p>
    <w:p>
      <w:pPr/>
      <w:r>
        <w:rPr/>
        <w:t xml:space="preserve">فاتك بن محمد فاتك بن محمد بن فاتك بن جياش: من ملوك اليمن. كانت له زبيد وما يليها، وإقامته في زبيد.</w:t>
      </w:r>
    </w:p>
    <w:p/>
    <w:p>
      <w:pPr/>
      <w:r>
        <w:rPr/>
        <w:t xml:space="preserve">ولي بعد وفاة فاتك بن منصور (سنة 531 هـ ومال إلى اللهو واللعب. واستمر إلى أن قتله الإمام أحمد بن سليمان بزبيد. وهو آخر من ملك زبيدا من هذه الأسرة، وتولاها بعده علي بن مهدي. </w:t>
      </w:r>
    </w:p>
    <w:p>
      <w:pPr>
        <w:jc w:val="start"/>
        <w:bidi/>
      </w:pPr>
      <w:r>
        <w:rPr>
          <w:sz w:val="24"/>
          <w:szCs w:val="24"/>
          <w:b w:val="1"/>
          <w:bCs w:val="1"/>
          <w:rtl/>
        </w:rPr>
        <w:t xml:space="preserve">
الأعلام،(دار العلم للملايين - بيروت،2002،ط 15،ج 5،ص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2026-06-26T21:25:50+03:00</dcterms:created>
  <dcterms:modified xsi:type="dcterms:W3CDTF">2026-06-26T21:25:50+03:00</dcterms:modified>
</cp:coreProperties>
</file>

<file path=docProps/custom.xml><?xml version="1.0" encoding="utf-8"?>
<Properties xmlns="http://schemas.openxmlformats.org/officeDocument/2006/custom-properties" xmlns:vt="http://schemas.openxmlformats.org/officeDocument/2006/docPropsVTypes"/>
</file>